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DF66" w14:textId="77777777" w:rsidR="00684847" w:rsidRPr="00834841" w:rsidRDefault="00684847" w:rsidP="00684847">
      <w:pPr>
        <w:jc w:val="center"/>
        <w:rPr>
          <w:rFonts w:ascii="Palatino Linotype" w:hAnsi="Palatino Linotype"/>
        </w:rPr>
      </w:pPr>
    </w:p>
    <w:p w14:paraId="38430EE4" w14:textId="77777777" w:rsidR="00684847" w:rsidRPr="00834841" w:rsidRDefault="00684847" w:rsidP="00684847">
      <w:pPr>
        <w:jc w:val="center"/>
        <w:rPr>
          <w:rFonts w:ascii="Palatino Linotype" w:hAnsi="Palatino Linotype"/>
        </w:rPr>
      </w:pPr>
    </w:p>
    <w:p w14:paraId="7F9F1B90" w14:textId="77777777" w:rsidR="00684847" w:rsidRPr="00834841" w:rsidRDefault="00684847" w:rsidP="00684847">
      <w:pPr>
        <w:jc w:val="center"/>
        <w:rPr>
          <w:rFonts w:ascii="Palatino Linotype" w:hAnsi="Palatino Linotype"/>
        </w:rPr>
      </w:pPr>
    </w:p>
    <w:p w14:paraId="15F1623E" w14:textId="77777777" w:rsidR="00684847" w:rsidRPr="00834841" w:rsidRDefault="00684847" w:rsidP="00684847">
      <w:pPr>
        <w:jc w:val="center"/>
        <w:rPr>
          <w:rFonts w:ascii="Palatino Linotype" w:hAnsi="Palatino Linotype"/>
        </w:rPr>
      </w:pPr>
    </w:p>
    <w:p w14:paraId="6852B2F9" w14:textId="77777777" w:rsidR="00684847" w:rsidRPr="00834841" w:rsidRDefault="00684847" w:rsidP="00684847">
      <w:pPr>
        <w:jc w:val="center"/>
        <w:rPr>
          <w:rFonts w:ascii="Palatino Linotype" w:hAnsi="Palatino Linotype"/>
        </w:rPr>
      </w:pPr>
    </w:p>
    <w:p w14:paraId="47A8DB1D" w14:textId="77777777" w:rsidR="00684847" w:rsidRPr="00834841" w:rsidRDefault="00684847" w:rsidP="00684847">
      <w:pPr>
        <w:jc w:val="center"/>
        <w:rPr>
          <w:rFonts w:ascii="Palatino Linotype" w:hAnsi="Palatino Linotype"/>
        </w:rPr>
      </w:pPr>
    </w:p>
    <w:p w14:paraId="33EACD83" w14:textId="77777777" w:rsidR="00684847" w:rsidRPr="00834841" w:rsidRDefault="00684847" w:rsidP="00684847">
      <w:pPr>
        <w:jc w:val="center"/>
        <w:rPr>
          <w:rFonts w:ascii="Palatino Linotype" w:hAnsi="Palatino Linotype"/>
        </w:rPr>
      </w:pPr>
    </w:p>
    <w:p w14:paraId="51DAFC98" w14:textId="77777777" w:rsidR="00684847" w:rsidRPr="00834841" w:rsidRDefault="00684847" w:rsidP="00684847">
      <w:pPr>
        <w:jc w:val="center"/>
        <w:rPr>
          <w:rFonts w:ascii="Palatino Linotype" w:hAnsi="Palatino Linotype"/>
        </w:rPr>
      </w:pPr>
    </w:p>
    <w:p w14:paraId="59194389" w14:textId="77777777" w:rsidR="00584CA2" w:rsidRDefault="00584CA2" w:rsidP="00584CA2">
      <w:pPr>
        <w:jc w:val="center"/>
      </w:pPr>
      <w:r>
        <w:rPr>
          <w:noProof/>
        </w:rPr>
        <w:drawing>
          <wp:inline distT="0" distB="0" distL="0" distR="0" wp14:anchorId="45ACDDC3" wp14:editId="13C44DAC">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3940C353" w14:textId="77777777" w:rsidR="00584CA2" w:rsidRDefault="00584CA2" w:rsidP="00584CA2">
      <w:pPr>
        <w:pStyle w:val="Title"/>
        <w:pBdr>
          <w:bottom w:val="single" w:sz="24" w:space="1" w:color="00395D" w:themeColor="accent1"/>
        </w:pBdr>
      </w:pPr>
    </w:p>
    <w:p w14:paraId="049217DB" w14:textId="77777777" w:rsidR="00584CA2" w:rsidRDefault="00584CA2" w:rsidP="00584CA2">
      <w:pPr>
        <w:jc w:val="center"/>
      </w:pPr>
    </w:p>
    <w:p w14:paraId="73A9D1B8" w14:textId="1AA14115" w:rsidR="00684847" w:rsidRPr="00584CA2" w:rsidRDefault="005A4B65" w:rsidP="00584CA2">
      <w:pPr>
        <w:pStyle w:val="Title"/>
      </w:pPr>
      <w:r w:rsidRPr="00584CA2">
        <w:t xml:space="preserve">Glossary of Terms </w:t>
      </w:r>
      <w:r w:rsidR="000E1B1B">
        <w:t>Used in WECC Criteria</w:t>
      </w:r>
    </w:p>
    <w:p w14:paraId="54DF83A4" w14:textId="2B1597D2" w:rsidR="00F551EB" w:rsidRDefault="005A4B65" w:rsidP="00584CA2">
      <w:pPr>
        <w:pStyle w:val="Subtitle"/>
      </w:pPr>
      <w:r w:rsidRPr="00584CA2">
        <w:t xml:space="preserve">Updated: </w:t>
      </w:r>
      <w:r w:rsidR="00B6183C">
        <w:t>March 7, 2023</w:t>
      </w:r>
    </w:p>
    <w:p w14:paraId="766E2136" w14:textId="12AE103B" w:rsidR="00B6183C" w:rsidRPr="00B6183C" w:rsidRDefault="00B6183C" w:rsidP="00B6183C">
      <w:pPr>
        <w:jc w:val="center"/>
      </w:pPr>
      <w:r w:rsidRPr="00B6183C">
        <w:rPr>
          <w:highlight w:val="yellow"/>
        </w:rPr>
        <w:t>RETIRED</w:t>
      </w:r>
    </w:p>
    <w:p w14:paraId="35EE5B46" w14:textId="14306260" w:rsidR="00B6183C" w:rsidRDefault="00B6183C" w:rsidP="00B6183C"/>
    <w:p w14:paraId="1F3ABD77" w14:textId="27113880" w:rsidR="00B6183C" w:rsidRPr="00B6183C" w:rsidRDefault="00B6183C" w:rsidP="00B6183C">
      <w:pPr>
        <w:jc w:val="center"/>
        <w:rPr>
          <w:b/>
          <w:bCs/>
        </w:rPr>
      </w:pPr>
      <w:r w:rsidRPr="00B6183C">
        <w:rPr>
          <w:b/>
          <w:bCs/>
        </w:rPr>
        <w:t>THIS DOCUMENT WAS RETIRED BY THE WECC STANDARDS COMMITTEE ON MARCH 7, 2023.</w:t>
      </w:r>
    </w:p>
    <w:p w14:paraId="5AB148E3" w14:textId="641D5D36" w:rsidR="00B6183C" w:rsidRPr="00B6183C" w:rsidRDefault="00B6183C" w:rsidP="00B6183C">
      <w:pPr>
        <w:jc w:val="center"/>
        <w:rPr>
          <w:b/>
          <w:bCs/>
        </w:rPr>
      </w:pPr>
      <w:r w:rsidRPr="00B6183C">
        <w:rPr>
          <w:b/>
          <w:bCs/>
        </w:rPr>
        <w:t>ALL DEFINITIONS WERE MOVED INTO THE WECC CRITERION ASSOCIATED WITH THE DEFINITION.</w:t>
      </w:r>
    </w:p>
    <w:p w14:paraId="1DCA17E7" w14:textId="77777777" w:rsidR="00584CA2" w:rsidRDefault="00584CA2">
      <w:pPr>
        <w:rPr>
          <w:rFonts w:ascii="Palatino Linotype" w:hAnsi="Palatino Linotype"/>
        </w:rPr>
      </w:pPr>
      <w:r>
        <w:rPr>
          <w:rFonts w:ascii="Palatino Linotype" w:hAnsi="Palatino Linotype"/>
          <w:b/>
        </w:rPr>
        <w:br w:type="page"/>
      </w:r>
    </w:p>
    <w:p w14:paraId="26F93876" w14:textId="11A45B0B" w:rsidR="002350EA" w:rsidRPr="009A058B" w:rsidRDefault="002350EA" w:rsidP="004B6A4F">
      <w:pPr>
        <w:pStyle w:val="Heading1"/>
        <w:tabs>
          <w:tab w:val="left" w:pos="2377"/>
        </w:tabs>
      </w:pPr>
      <w:bookmarkStart w:id="0" w:name="_Toc411432013"/>
      <w:bookmarkStart w:id="1" w:name="_Toc411432666"/>
      <w:bookmarkStart w:id="2" w:name="_Toc39233924"/>
      <w:r w:rsidRPr="009A058B">
        <w:lastRenderedPageBreak/>
        <w:t>Overview</w:t>
      </w:r>
      <w:bookmarkEnd w:id="0"/>
      <w:bookmarkEnd w:id="1"/>
      <w:bookmarkEnd w:id="2"/>
      <w:r w:rsidR="004B6A4F">
        <w:tab/>
      </w:r>
    </w:p>
    <w:p w14:paraId="41F7BEFD" w14:textId="33EC2D79" w:rsidR="002350EA" w:rsidRPr="00834841" w:rsidRDefault="002350EA" w:rsidP="00B2719B">
      <w:r w:rsidRPr="00834841">
        <w:t xml:space="preserve">The WECC Glossary of Terms </w:t>
      </w:r>
      <w:r w:rsidR="00040600">
        <w:t xml:space="preserve">Used in WECC Criteria </w:t>
      </w:r>
      <w:r w:rsidRPr="00834841">
        <w:t xml:space="preserve">(WECC Glossary) consists </w:t>
      </w:r>
      <w:r w:rsidR="00D416B9">
        <w:t xml:space="preserve">solely </w:t>
      </w:r>
      <w:r w:rsidRPr="00834841">
        <w:t>of terms</w:t>
      </w:r>
      <w:r w:rsidR="00D416B9">
        <w:t xml:space="preserve"> used in </w:t>
      </w:r>
      <w:r w:rsidR="00C52A90">
        <w:t xml:space="preserve">active </w:t>
      </w:r>
      <w:r w:rsidR="00D416B9">
        <w:t xml:space="preserve">WECC Criteria, </w:t>
      </w:r>
      <w:r w:rsidRPr="00834841">
        <w:t xml:space="preserve">developed using the WECC Reliability Standards Development Procedures (Procedures), or its successor. </w:t>
      </w:r>
    </w:p>
    <w:p w14:paraId="28F92066" w14:textId="4342C8B0" w:rsidR="00040600" w:rsidRPr="00005571" w:rsidRDefault="002350EA" w:rsidP="00B2719B">
      <w:r w:rsidRPr="00834841">
        <w:t>The WECC Glossary shall not duplicate a defined term maintained by either the North American Electric Reliability Corporation (NERC) or the North American Energy Standards Board (NAESB).</w:t>
      </w:r>
      <w:r w:rsidR="00040600">
        <w:t xml:space="preserve"> </w:t>
      </w:r>
      <w:r w:rsidR="00040600" w:rsidRPr="00273586">
        <w:t>In the event NERC adopts an existing term from the WECC Glossary for inclusion in the Glossary of Terms Used in NERC Reliability Standards, a WECC SAR should be filed to review use of the term in affected documents.</w:t>
      </w:r>
    </w:p>
    <w:p w14:paraId="5866CB9F" w14:textId="22881DA2" w:rsidR="002350EA" w:rsidRPr="00834841" w:rsidRDefault="002350EA" w:rsidP="00B2719B">
      <w:r w:rsidRPr="00834841">
        <w:t xml:space="preserve">Treatment of defined terms used by NERC and NAESB </w:t>
      </w:r>
      <w:r w:rsidR="00D575A3">
        <w:t xml:space="preserve">is </w:t>
      </w:r>
      <w:r w:rsidRPr="00834841">
        <w:t xml:space="preserve">governed by those entities. </w:t>
      </w:r>
    </w:p>
    <w:p w14:paraId="7A9E792F" w14:textId="0BB789FE" w:rsidR="002350EA" w:rsidRPr="00834841" w:rsidRDefault="00100596" w:rsidP="00B26EDE">
      <w:pPr>
        <w:pStyle w:val="Heading3"/>
      </w:pPr>
      <w:r>
        <w:t>Administration</w:t>
      </w:r>
      <w:r w:rsidR="00D575A3">
        <w:t xml:space="preserve"> and Modification</w:t>
      </w:r>
    </w:p>
    <w:p w14:paraId="107A4738" w14:textId="5AE58C78" w:rsidR="00D575A3" w:rsidRDefault="00D575A3" w:rsidP="00B2719B">
      <w:r>
        <w:t>This document is administered by the WECC Standards Committee (WSC</w:t>
      </w:r>
      <w:r w:rsidR="00173C8C">
        <w:t>) per the WSC Charter.</w:t>
      </w:r>
      <w:r>
        <w:t xml:space="preserve"> </w:t>
      </w:r>
    </w:p>
    <w:p w14:paraId="741D01F6" w14:textId="5338247D" w:rsidR="00D416B9" w:rsidRDefault="00D416B9" w:rsidP="00B2719B">
      <w:r w:rsidRPr="00834841">
        <w:t xml:space="preserve">This glossary shall be used as the single-source repository for all defined terms used in </w:t>
      </w:r>
      <w:r w:rsidR="00C52A90">
        <w:t xml:space="preserve">active </w:t>
      </w:r>
      <w:r w:rsidRPr="00834841">
        <w:t>WECC Criteria</w:t>
      </w:r>
      <w:r>
        <w:t xml:space="preserve"> (CRT)</w:t>
      </w:r>
      <w:r w:rsidRPr="00834841">
        <w:t>.</w:t>
      </w:r>
      <w:r>
        <w:rPr>
          <w:rStyle w:val="FootnoteReference"/>
          <w:rFonts w:ascii="Palatino Linotype" w:hAnsi="Palatino Linotype"/>
        </w:rPr>
        <w:footnoteReference w:id="2"/>
      </w:r>
    </w:p>
    <w:p w14:paraId="375D626D" w14:textId="281C1C5C" w:rsidR="00721C92" w:rsidRDefault="00D575A3" w:rsidP="00B2719B">
      <w:r w:rsidRPr="00D575A3">
        <w:t xml:space="preserve">When a definition is no longer used in an active WECC CRT, that term is deemed retired and will be removed from the WECC Glossary without further due process. </w:t>
      </w:r>
      <w:bookmarkStart w:id="4" w:name="_Toc411432027"/>
      <w:bookmarkStart w:id="5" w:name="_Toc411432674"/>
      <w:bookmarkStart w:id="6" w:name="_Toc39233932"/>
      <w:bookmarkStart w:id="7" w:name="_Toc411432019"/>
    </w:p>
    <w:p w14:paraId="1B6EC9C3" w14:textId="34C74F0A" w:rsidR="00594572" w:rsidRDefault="00045DC0" w:rsidP="00721C92">
      <w:pPr>
        <w:rPr>
          <w:rFonts w:asciiTheme="majorHAnsi" w:hAnsiTheme="majorHAnsi"/>
          <w:b/>
          <w:bCs/>
        </w:rPr>
      </w:pPr>
      <w:r w:rsidRPr="00721C92">
        <w:rPr>
          <w:rFonts w:asciiTheme="majorHAnsi" w:hAnsiTheme="majorHAnsi"/>
          <w:b/>
          <w:bCs/>
        </w:rPr>
        <w:t>WECC Standards and WECC Criteri</w:t>
      </w:r>
      <w:r w:rsidR="00C86AA1">
        <w:rPr>
          <w:rFonts w:asciiTheme="majorHAnsi" w:hAnsiTheme="majorHAnsi"/>
          <w:b/>
          <w:bCs/>
        </w:rPr>
        <w:t xml:space="preserve">a </w:t>
      </w:r>
      <w:r w:rsidRPr="00721C92">
        <w:rPr>
          <w:rFonts w:asciiTheme="majorHAnsi" w:hAnsiTheme="majorHAnsi"/>
          <w:b/>
          <w:bCs/>
        </w:rPr>
        <w:t>Numbering System</w:t>
      </w:r>
      <w:bookmarkEnd w:id="4"/>
      <w:bookmarkEnd w:id="5"/>
      <w:bookmarkEnd w:id="6"/>
    </w:p>
    <w:p w14:paraId="241A4524" w14:textId="677E66BA" w:rsidR="004B6A4F" w:rsidRDefault="00045DC0" w:rsidP="00B2719B">
      <w:pPr>
        <w:rPr>
          <w:rFonts w:ascii="Palatino Linotype" w:hAnsi="Palatino Linotype"/>
        </w:rPr>
      </w:pPr>
      <w:r w:rsidRPr="00721C92">
        <w:t xml:space="preserve">For purposes of </w:t>
      </w:r>
      <w:r w:rsidR="00721C92">
        <w:t>documents created per</w:t>
      </w:r>
      <w:r w:rsidR="00721C92" w:rsidRPr="00005571">
        <w:t xml:space="preserve"> the Procedures</w:t>
      </w:r>
      <w:r w:rsidR="00721C92">
        <w:t>,</w:t>
      </w:r>
      <w:r w:rsidR="00721C92" w:rsidRPr="00005571">
        <w:t xml:space="preserve"> </w:t>
      </w:r>
      <w:r w:rsidRPr="00005571">
        <w:t xml:space="preserve">WECC </w:t>
      </w:r>
      <w:r w:rsidRPr="00721C92">
        <w:t>uses the same numbering</w:t>
      </w:r>
      <w:r w:rsidRPr="00005571">
        <w:t xml:space="preserve"> and </w:t>
      </w:r>
      <w:r w:rsidRPr="00721C92">
        <w:t>three-letter acronym system</w:t>
      </w:r>
      <w:r w:rsidRPr="00005571">
        <w:t xml:space="preserve"> used</w:t>
      </w:r>
      <w:r w:rsidRPr="00721C92">
        <w:t xml:space="preserve"> by NERC in </w:t>
      </w:r>
      <w:r w:rsidR="00721C92" w:rsidRPr="00721C92">
        <w:t>the NERC Standards Numbering System</w:t>
      </w:r>
      <w:r w:rsidR="00721C92" w:rsidRPr="00721C92">
        <w:rPr>
          <w:rStyle w:val="FootnoteReference"/>
        </w:rPr>
        <w:footnoteReference w:id="3"/>
      </w:r>
      <w:r w:rsidR="00721C92" w:rsidRPr="00721C92">
        <w:t xml:space="preserve">, </w:t>
      </w:r>
      <w:r w:rsidR="00721C92">
        <w:t xml:space="preserve">or its successor, </w:t>
      </w:r>
      <w:r w:rsidR="00182F03">
        <w:t>except</w:t>
      </w:r>
      <w:r w:rsidR="00182F03" w:rsidRPr="00005571">
        <w:t xml:space="preserve"> that </w:t>
      </w:r>
      <w:r w:rsidR="00E24901">
        <w:rPr>
          <w:rFonts w:ascii="Palatino Linotype" w:hAnsi="Palatino Linotype"/>
        </w:rPr>
        <w:t>“</w:t>
      </w:r>
      <w:r w:rsidR="00721C92">
        <w:rPr>
          <w:rFonts w:ascii="Palatino Linotype" w:hAnsi="Palatino Linotype"/>
        </w:rPr>
        <w:t>WECC-</w:t>
      </w:r>
      <w:r w:rsidR="00100596">
        <w:rPr>
          <w:rFonts w:ascii="Palatino Linotype" w:hAnsi="Palatino Linotype"/>
        </w:rPr>
        <w:t>CRT” design</w:t>
      </w:r>
      <w:r w:rsidR="00182F03">
        <w:rPr>
          <w:rFonts w:ascii="Palatino Linotype" w:hAnsi="Palatino Linotype"/>
        </w:rPr>
        <w:t xml:space="preserve">ates a </w:t>
      </w:r>
      <w:r w:rsidR="00100596">
        <w:rPr>
          <w:rFonts w:ascii="Palatino Linotype" w:hAnsi="Palatino Linotype"/>
        </w:rPr>
        <w:t>WECC Criteri</w:t>
      </w:r>
      <w:r w:rsidR="00182F03">
        <w:rPr>
          <w:rFonts w:ascii="Palatino Linotype" w:hAnsi="Palatino Linotype"/>
        </w:rPr>
        <w:t>on</w:t>
      </w:r>
      <w:r w:rsidR="00100596">
        <w:rPr>
          <w:rFonts w:ascii="Palatino Linotype" w:hAnsi="Palatino Linotype"/>
        </w:rPr>
        <w:t>.</w:t>
      </w:r>
    </w:p>
    <w:p w14:paraId="62697E38" w14:textId="4BA23278" w:rsidR="00721C92" w:rsidRDefault="00721C92" w:rsidP="00B2719B">
      <w:pPr>
        <w:rPr>
          <w:rFonts w:ascii="Palatino Linotype" w:hAnsi="Palatino Linotype"/>
        </w:rPr>
      </w:pPr>
      <w:r>
        <w:rPr>
          <w:rFonts w:ascii="Palatino Linotype" w:hAnsi="Palatino Linotype"/>
        </w:rPr>
        <w:t xml:space="preserve">For example, INT-001-“WECC-CRT”-4 designates a WECC Criterion. </w:t>
      </w:r>
    </w:p>
    <w:p w14:paraId="70809802" w14:textId="52ACAF30" w:rsidR="002350EA" w:rsidRPr="00005571" w:rsidRDefault="002350EA" w:rsidP="00005571">
      <w:pPr>
        <w:rPr>
          <w:rFonts w:asciiTheme="majorHAnsi" w:hAnsiTheme="majorHAnsi"/>
          <w:b/>
          <w:sz w:val="24"/>
        </w:rPr>
      </w:pPr>
      <w:r w:rsidRPr="00005571">
        <w:rPr>
          <w:rFonts w:asciiTheme="majorHAnsi" w:hAnsiTheme="majorHAnsi"/>
          <w:b/>
          <w:sz w:val="24"/>
        </w:rPr>
        <w:t>Contact</w:t>
      </w:r>
      <w:bookmarkEnd w:id="7"/>
    </w:p>
    <w:p w14:paraId="14124081" w14:textId="698D1024" w:rsidR="00273586" w:rsidRDefault="002350EA">
      <w:pPr>
        <w:rPr>
          <w:rFonts w:ascii="Palatino Linotype" w:hAnsi="Palatino Linotype"/>
        </w:rPr>
      </w:pPr>
      <w:r w:rsidRPr="00834841">
        <w:rPr>
          <w:rFonts w:ascii="Palatino Linotype" w:hAnsi="Palatino Linotype"/>
        </w:rPr>
        <w:t>If you have questions regarding the WECC Glossary, contact</w:t>
      </w:r>
      <w:r w:rsidR="000A2F8C">
        <w:rPr>
          <w:rFonts w:ascii="Palatino Linotype" w:hAnsi="Palatino Linotype"/>
        </w:rPr>
        <w:t xml:space="preserve"> </w:t>
      </w:r>
      <w:hyperlink r:id="rId13" w:history="1">
        <w:r w:rsidR="000A2F8C" w:rsidRPr="006C1A9B">
          <w:rPr>
            <w:rStyle w:val="Hyperlink"/>
            <w:rFonts w:ascii="Palatino Linotype" w:hAnsi="Palatino Linotype"/>
          </w:rPr>
          <w:t>support@wecc.org</w:t>
        </w:r>
      </w:hyperlink>
      <w:r w:rsidR="000A2F8C">
        <w:rPr>
          <w:rFonts w:ascii="Palatino Linotype" w:hAnsi="Palatino Linotype"/>
        </w:rPr>
        <w:t xml:space="preserve">. </w:t>
      </w:r>
      <w:r w:rsidR="00273586">
        <w:rPr>
          <w:rFonts w:ascii="Palatino Linotype" w:hAnsi="Palatino Linotype"/>
          <w:b/>
        </w:rPr>
        <w:br w:type="page"/>
      </w:r>
    </w:p>
    <w:p w14:paraId="1B416364" w14:textId="0B7713BF" w:rsidR="0047520E" w:rsidRPr="00EB4FD0" w:rsidRDefault="000E1B1B" w:rsidP="00B26EDE">
      <w:pPr>
        <w:pStyle w:val="Heading1"/>
        <w:rPr>
          <w:sz w:val="24"/>
        </w:rPr>
      </w:pPr>
      <w:bookmarkStart w:id="8" w:name="_Toc411432020"/>
      <w:bookmarkStart w:id="9" w:name="_Toc411432667"/>
      <w:bookmarkStart w:id="10" w:name="_Toc39233925"/>
      <w:r>
        <w:rPr>
          <w:sz w:val="24"/>
        </w:rPr>
        <w:t>Defined Terms Used in WECC Criteria</w:t>
      </w:r>
      <w:bookmarkEnd w:id="8"/>
      <w:bookmarkEnd w:id="9"/>
      <w:bookmarkEnd w:id="10"/>
    </w:p>
    <w:tbl>
      <w:tblPr>
        <w:tblW w:w="10227" w:type="dxa"/>
        <w:tblInd w:w="-65" w:type="dxa"/>
        <w:tblCellMar>
          <w:top w:w="29" w:type="dxa"/>
          <w:left w:w="115" w:type="dxa"/>
          <w:bottom w:w="29" w:type="dxa"/>
          <w:right w:w="115" w:type="dxa"/>
        </w:tblCellMar>
        <w:tblLook w:val="01E0" w:firstRow="1" w:lastRow="1" w:firstColumn="1" w:lastColumn="1" w:noHBand="0" w:noVBand="0"/>
      </w:tblPr>
      <w:tblGrid>
        <w:gridCol w:w="1907"/>
        <w:gridCol w:w="1480"/>
        <w:gridCol w:w="4050"/>
        <w:gridCol w:w="2790"/>
      </w:tblGrid>
      <w:tr w:rsidR="0047520E" w:rsidRPr="00B2719B" w14:paraId="64422AC5" w14:textId="77777777" w:rsidTr="00594572">
        <w:trPr>
          <w:cantSplit/>
          <w:tblHeader/>
        </w:trPr>
        <w:tc>
          <w:tcPr>
            <w:tcW w:w="1907" w:type="dxa"/>
            <w:tcBorders>
              <w:top w:val="single" w:sz="6" w:space="0" w:color="000000"/>
              <w:left w:val="single" w:sz="6" w:space="0" w:color="000000"/>
              <w:bottom w:val="single" w:sz="6" w:space="0" w:color="000000"/>
              <w:right w:val="single" w:sz="6" w:space="0" w:color="000000"/>
            </w:tcBorders>
            <w:shd w:val="clear" w:color="auto" w:fill="00395D"/>
            <w:vAlign w:val="center"/>
          </w:tcPr>
          <w:p w14:paraId="368EB497" w14:textId="77777777" w:rsidR="0047520E" w:rsidRPr="00B2719B" w:rsidRDefault="0047520E" w:rsidP="003B7138">
            <w:pPr>
              <w:pStyle w:val="TableParagraph"/>
              <w:spacing w:after="60"/>
              <w:jc w:val="center"/>
              <w:rPr>
                <w:rFonts w:asciiTheme="majorHAnsi" w:eastAsia="Arial" w:hAnsiTheme="majorHAnsi" w:cs="Arial"/>
                <w:b/>
                <w:color w:val="FFFFFF"/>
              </w:rPr>
            </w:pPr>
            <w:r w:rsidRPr="00B2719B">
              <w:rPr>
                <w:rFonts w:asciiTheme="majorHAnsi" w:hAnsiTheme="majorHAnsi"/>
                <w:b/>
                <w:color w:val="FFFFFF"/>
              </w:rPr>
              <w:t>Term</w:t>
            </w:r>
          </w:p>
        </w:tc>
        <w:tc>
          <w:tcPr>
            <w:tcW w:w="1480" w:type="dxa"/>
            <w:tcBorders>
              <w:top w:val="single" w:sz="6" w:space="0" w:color="000000"/>
              <w:left w:val="single" w:sz="6" w:space="0" w:color="000000"/>
              <w:bottom w:val="single" w:sz="6" w:space="0" w:color="000000"/>
              <w:right w:val="single" w:sz="6" w:space="0" w:color="000000"/>
            </w:tcBorders>
            <w:shd w:val="clear" w:color="auto" w:fill="00395D"/>
            <w:vAlign w:val="center"/>
          </w:tcPr>
          <w:p w14:paraId="1BB2E6B7" w14:textId="77777777" w:rsidR="0047520E" w:rsidRPr="00B2719B" w:rsidRDefault="0047520E" w:rsidP="003B7138">
            <w:pPr>
              <w:pStyle w:val="TableParagraph"/>
              <w:spacing w:after="60"/>
              <w:ind w:left="-115"/>
              <w:jc w:val="center"/>
              <w:rPr>
                <w:rFonts w:asciiTheme="majorHAnsi" w:eastAsia="Arial" w:hAnsiTheme="majorHAnsi" w:cs="Arial"/>
                <w:b/>
                <w:color w:val="FFFFFF"/>
              </w:rPr>
            </w:pPr>
            <w:r w:rsidRPr="00B2719B">
              <w:rPr>
                <w:rFonts w:asciiTheme="majorHAnsi" w:hAnsiTheme="majorHAnsi"/>
                <w:b/>
                <w:color w:val="FFFFFF"/>
              </w:rPr>
              <w:t>Approval Date</w:t>
            </w:r>
          </w:p>
        </w:tc>
        <w:tc>
          <w:tcPr>
            <w:tcW w:w="4050" w:type="dxa"/>
            <w:tcBorders>
              <w:top w:val="single" w:sz="6" w:space="0" w:color="000000"/>
              <w:left w:val="single" w:sz="6" w:space="0" w:color="000000"/>
              <w:bottom w:val="single" w:sz="6" w:space="0" w:color="000000"/>
              <w:right w:val="single" w:sz="6" w:space="0" w:color="000000"/>
            </w:tcBorders>
            <w:shd w:val="clear" w:color="auto" w:fill="00395D"/>
            <w:vAlign w:val="center"/>
          </w:tcPr>
          <w:p w14:paraId="3949B680" w14:textId="77777777" w:rsidR="0047520E" w:rsidRPr="00B2719B" w:rsidRDefault="0047520E" w:rsidP="003B7138">
            <w:pPr>
              <w:pStyle w:val="TableParagraph"/>
              <w:spacing w:after="60"/>
              <w:jc w:val="center"/>
              <w:rPr>
                <w:rFonts w:asciiTheme="majorHAnsi" w:eastAsia="Arial" w:hAnsiTheme="majorHAnsi" w:cs="Arial"/>
                <w:b/>
                <w:color w:val="FFFFFF"/>
              </w:rPr>
            </w:pPr>
            <w:r w:rsidRPr="00B2719B">
              <w:rPr>
                <w:rFonts w:asciiTheme="majorHAnsi" w:hAnsiTheme="majorHAnsi"/>
                <w:b/>
                <w:color w:val="FFFFFF"/>
              </w:rPr>
              <w:t>Approved Definition</w:t>
            </w:r>
          </w:p>
        </w:tc>
        <w:tc>
          <w:tcPr>
            <w:tcW w:w="2790" w:type="dxa"/>
            <w:tcBorders>
              <w:top w:val="single" w:sz="6" w:space="0" w:color="000000"/>
              <w:left w:val="single" w:sz="6" w:space="0" w:color="000000"/>
              <w:bottom w:val="single" w:sz="6" w:space="0" w:color="000000"/>
              <w:right w:val="single" w:sz="6" w:space="0" w:color="000000"/>
            </w:tcBorders>
            <w:shd w:val="clear" w:color="auto" w:fill="00395D"/>
            <w:vAlign w:val="center"/>
          </w:tcPr>
          <w:p w14:paraId="5BEB12EE" w14:textId="46C6CB14" w:rsidR="0047520E" w:rsidRPr="00B2719B" w:rsidRDefault="008D3E42" w:rsidP="003B7138">
            <w:pPr>
              <w:pStyle w:val="TableParagraph"/>
              <w:spacing w:after="60"/>
              <w:jc w:val="center"/>
              <w:rPr>
                <w:rFonts w:asciiTheme="majorHAnsi" w:eastAsia="Arial" w:hAnsiTheme="majorHAnsi" w:cs="Arial"/>
                <w:b/>
                <w:color w:val="FFFFFF"/>
              </w:rPr>
            </w:pPr>
            <w:r w:rsidRPr="00B2719B">
              <w:rPr>
                <w:rFonts w:asciiTheme="majorHAnsi" w:hAnsiTheme="majorHAnsi"/>
                <w:b/>
                <w:color w:val="FFFFFF"/>
              </w:rPr>
              <w:t>Term Origin</w:t>
            </w:r>
          </w:p>
        </w:tc>
      </w:tr>
      <w:tr w:rsidR="0047520E" w:rsidRPr="00B2719B" w14:paraId="1EB33876"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596FC080"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Capacity Associated with Energy Recallable for Reserves</w:t>
            </w:r>
          </w:p>
        </w:tc>
        <w:tc>
          <w:tcPr>
            <w:tcW w:w="1480" w:type="dxa"/>
            <w:tcBorders>
              <w:top w:val="single" w:sz="6" w:space="0" w:color="000000"/>
              <w:left w:val="single" w:sz="6" w:space="0" w:color="000000"/>
              <w:bottom w:val="single" w:sz="6" w:space="0" w:color="000000"/>
              <w:right w:val="single" w:sz="6" w:space="0" w:color="000000"/>
            </w:tcBorders>
            <w:vAlign w:val="center"/>
          </w:tcPr>
          <w:p w14:paraId="2F38CEC9"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September 18, 2014</w:t>
            </w:r>
          </w:p>
        </w:tc>
        <w:tc>
          <w:tcPr>
            <w:tcW w:w="4050" w:type="dxa"/>
            <w:tcBorders>
              <w:top w:val="single" w:sz="6" w:space="0" w:color="000000"/>
              <w:left w:val="single" w:sz="6" w:space="0" w:color="000000"/>
              <w:bottom w:val="single" w:sz="6" w:space="0" w:color="000000"/>
              <w:right w:val="single" w:sz="6" w:space="0" w:color="000000"/>
            </w:tcBorders>
            <w:vAlign w:val="center"/>
          </w:tcPr>
          <w:p w14:paraId="3161B828"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C-RE: Capacity Associated with Energy Recallable for Reserves.</w:t>
            </w:r>
          </w:p>
          <w:p w14:paraId="0CE2A6C8"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eastAsia="Arial" w:hAnsi="Palatino Linotype" w:cs="Arial"/>
              </w:rPr>
              <w:t xml:space="preserve">This product is energy that is recallable within </w:t>
            </w:r>
            <w:r w:rsidR="00273586" w:rsidRPr="00B2719B">
              <w:rPr>
                <w:rFonts w:ascii="Palatino Linotype" w:eastAsia="Arial" w:hAnsi="Palatino Linotype" w:cs="Arial"/>
              </w:rPr>
              <w:t xml:space="preserve">10 </w:t>
            </w:r>
            <w:r w:rsidRPr="00B2719B">
              <w:rPr>
                <w:rFonts w:ascii="Palatino Linotype" w:eastAsia="Arial" w:hAnsi="Palatino Linotype" w:cs="Arial"/>
              </w:rPr>
              <w:t>minutes of activation of reserves and has been included in the Source Balancing Authority’s reserve resources.</w:t>
            </w:r>
          </w:p>
        </w:tc>
        <w:tc>
          <w:tcPr>
            <w:tcW w:w="2790" w:type="dxa"/>
            <w:tcBorders>
              <w:top w:val="single" w:sz="6" w:space="0" w:color="000000"/>
              <w:left w:val="single" w:sz="6" w:space="0" w:color="000000"/>
              <w:bottom w:val="single" w:sz="6" w:space="0" w:color="000000"/>
              <w:right w:val="single" w:sz="6" w:space="0" w:color="000000"/>
            </w:tcBorders>
            <w:vAlign w:val="center"/>
          </w:tcPr>
          <w:p w14:paraId="6E250EBC" w14:textId="46B630D3" w:rsidR="00FE295B" w:rsidRPr="00B2719B" w:rsidRDefault="0047520E" w:rsidP="00FE295B">
            <w:pPr>
              <w:pStyle w:val="TableParagraph"/>
              <w:spacing w:after="60"/>
              <w:rPr>
                <w:rFonts w:ascii="Palatino Linotype" w:eastAsia="Arial" w:hAnsi="Palatino Linotype" w:cs="Arial"/>
              </w:rPr>
            </w:pPr>
            <w:r w:rsidRPr="00B2719B">
              <w:rPr>
                <w:rFonts w:ascii="Palatino Linotype" w:hAnsi="Palatino Linotype"/>
              </w:rPr>
              <w:t>INT-018-WECC-CRT-1.2</w:t>
            </w:r>
            <w:r w:rsidR="00FE295B" w:rsidRPr="00B2719B">
              <w:rPr>
                <w:rFonts w:ascii="Palatino Linotype" w:hAnsi="Palatino Linotype"/>
              </w:rPr>
              <w:t xml:space="preserve"> </w:t>
            </w:r>
          </w:p>
        </w:tc>
      </w:tr>
      <w:tr w:rsidR="0047520E" w:rsidRPr="00B2719B" w14:paraId="396BF4C6"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5C89CB93" w14:textId="77777777" w:rsidR="0047520E" w:rsidRPr="00B2719B" w:rsidRDefault="0047520E" w:rsidP="00273586">
            <w:pPr>
              <w:pStyle w:val="TableParagraph"/>
              <w:spacing w:after="60"/>
              <w:rPr>
                <w:rFonts w:ascii="Palatino Linotype" w:eastAsia="Arial" w:hAnsi="Palatino Linotype" w:cs="Arial"/>
              </w:rPr>
            </w:pPr>
            <w:bookmarkStart w:id="11" w:name="_bookmark4"/>
            <w:bookmarkStart w:id="12" w:name="_bookmark5"/>
            <w:bookmarkEnd w:id="11"/>
            <w:bookmarkEnd w:id="12"/>
            <w:r w:rsidRPr="00B2719B">
              <w:rPr>
                <w:rFonts w:ascii="Palatino Linotype" w:hAnsi="Palatino Linotype"/>
              </w:rPr>
              <w:t>Capacity for Non-Spinning Reserve</w:t>
            </w:r>
          </w:p>
        </w:tc>
        <w:tc>
          <w:tcPr>
            <w:tcW w:w="1480" w:type="dxa"/>
            <w:tcBorders>
              <w:top w:val="single" w:sz="6" w:space="0" w:color="000000"/>
              <w:left w:val="single" w:sz="6" w:space="0" w:color="000000"/>
              <w:bottom w:val="single" w:sz="6" w:space="0" w:color="000000"/>
              <w:right w:val="single" w:sz="6" w:space="0" w:color="000000"/>
            </w:tcBorders>
            <w:vAlign w:val="center"/>
          </w:tcPr>
          <w:p w14:paraId="2D53B5E6"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September 18, 2014</w:t>
            </w:r>
          </w:p>
        </w:tc>
        <w:tc>
          <w:tcPr>
            <w:tcW w:w="4050" w:type="dxa"/>
            <w:tcBorders>
              <w:top w:val="single" w:sz="6" w:space="0" w:color="000000"/>
              <w:left w:val="single" w:sz="6" w:space="0" w:color="000000"/>
              <w:bottom w:val="single" w:sz="6" w:space="0" w:color="000000"/>
              <w:right w:val="single" w:sz="6" w:space="0" w:color="000000"/>
            </w:tcBorders>
            <w:vAlign w:val="center"/>
          </w:tcPr>
          <w:p w14:paraId="7F75F6D1"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C-NS: Capacity for Non-Spinning Reserve.</w:t>
            </w:r>
          </w:p>
          <w:p w14:paraId="6B8AADF4"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On-Demand Non-Spinning Reserve obligation/resource is a Non-Spinning Reserve product that can be activated through the adjustment of a capacity e</w:t>
            </w:r>
            <w:r w:rsidRPr="00B2719B">
              <w:rPr>
                <w:rFonts w:ascii="Palatino Linotype" w:hAnsi="Palatino Linotype"/>
              </w:rPr>
              <w:noBreakHyphen/>
              <w:t>Tag.</w:t>
            </w:r>
          </w:p>
        </w:tc>
        <w:tc>
          <w:tcPr>
            <w:tcW w:w="2790" w:type="dxa"/>
            <w:tcBorders>
              <w:top w:val="single" w:sz="6" w:space="0" w:color="000000"/>
              <w:left w:val="single" w:sz="6" w:space="0" w:color="000000"/>
              <w:bottom w:val="single" w:sz="6" w:space="0" w:color="000000"/>
              <w:right w:val="single" w:sz="6" w:space="0" w:color="000000"/>
            </w:tcBorders>
            <w:vAlign w:val="center"/>
          </w:tcPr>
          <w:p w14:paraId="42405790" w14:textId="1578AFEC" w:rsidR="0047520E" w:rsidRPr="00B2719B" w:rsidRDefault="00FE295B" w:rsidP="003B7138">
            <w:pPr>
              <w:pStyle w:val="TableParagraph"/>
              <w:spacing w:after="60"/>
              <w:rPr>
                <w:rFonts w:ascii="Palatino Linotype" w:eastAsia="Arial" w:hAnsi="Palatino Linotype" w:cs="Arial"/>
              </w:rPr>
            </w:pPr>
            <w:r w:rsidRPr="00B2719B">
              <w:rPr>
                <w:rFonts w:ascii="Palatino Linotype" w:hAnsi="Palatino Linotype"/>
              </w:rPr>
              <w:t>INT-018-WECC-CRT-1.2</w:t>
            </w:r>
          </w:p>
        </w:tc>
      </w:tr>
      <w:tr w:rsidR="0047520E" w:rsidRPr="00B2719B" w14:paraId="2152C33F"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7D9A1203"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Capacity for Spinning Reserve</w:t>
            </w:r>
          </w:p>
        </w:tc>
        <w:tc>
          <w:tcPr>
            <w:tcW w:w="1480" w:type="dxa"/>
            <w:tcBorders>
              <w:top w:val="single" w:sz="6" w:space="0" w:color="000000"/>
              <w:left w:val="single" w:sz="6" w:space="0" w:color="000000"/>
              <w:bottom w:val="single" w:sz="6" w:space="0" w:color="000000"/>
              <w:right w:val="single" w:sz="6" w:space="0" w:color="000000"/>
            </w:tcBorders>
            <w:vAlign w:val="center"/>
          </w:tcPr>
          <w:p w14:paraId="1AB2053D"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September 18, 2014</w:t>
            </w:r>
          </w:p>
        </w:tc>
        <w:tc>
          <w:tcPr>
            <w:tcW w:w="4050" w:type="dxa"/>
            <w:tcBorders>
              <w:top w:val="single" w:sz="6" w:space="0" w:color="000000"/>
              <w:left w:val="single" w:sz="6" w:space="0" w:color="000000"/>
              <w:bottom w:val="single" w:sz="6" w:space="0" w:color="000000"/>
              <w:right w:val="single" w:sz="6" w:space="0" w:color="000000"/>
            </w:tcBorders>
            <w:vAlign w:val="center"/>
          </w:tcPr>
          <w:p w14:paraId="3A7FAA49"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C-SP: Capacity for Spinning Reserve.</w:t>
            </w:r>
          </w:p>
          <w:p w14:paraId="4EB4840A"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On-Demand Spinning Reserve obligation/resource is a Spinning Reserve product that can be activated through the adjustment of a capacity e-Tag.</w:t>
            </w:r>
          </w:p>
        </w:tc>
        <w:tc>
          <w:tcPr>
            <w:tcW w:w="2790" w:type="dxa"/>
            <w:tcBorders>
              <w:top w:val="single" w:sz="6" w:space="0" w:color="000000"/>
              <w:left w:val="single" w:sz="6" w:space="0" w:color="000000"/>
              <w:bottom w:val="single" w:sz="6" w:space="0" w:color="000000"/>
              <w:right w:val="single" w:sz="6" w:space="0" w:color="000000"/>
            </w:tcBorders>
            <w:vAlign w:val="center"/>
          </w:tcPr>
          <w:p w14:paraId="7E3A6572" w14:textId="158E5104" w:rsidR="0047520E" w:rsidRPr="00B2719B" w:rsidRDefault="00FE295B" w:rsidP="003B7138">
            <w:pPr>
              <w:pStyle w:val="TableParagraph"/>
              <w:spacing w:after="60"/>
              <w:rPr>
                <w:rFonts w:ascii="Palatino Linotype" w:eastAsia="Arial" w:hAnsi="Palatino Linotype" w:cs="Arial"/>
              </w:rPr>
            </w:pPr>
            <w:r w:rsidRPr="00B2719B">
              <w:rPr>
                <w:rFonts w:ascii="Palatino Linotype" w:hAnsi="Palatino Linotype"/>
              </w:rPr>
              <w:t>INT-018-WECC-CRT-1.2</w:t>
            </w:r>
          </w:p>
        </w:tc>
      </w:tr>
      <w:tr w:rsidR="0047520E" w:rsidRPr="00B2719B" w14:paraId="296496FC"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7F191309"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Exchange of Firm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7FFC4796"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September 18, 2014</w:t>
            </w:r>
          </w:p>
        </w:tc>
        <w:tc>
          <w:tcPr>
            <w:tcW w:w="4050" w:type="dxa"/>
            <w:tcBorders>
              <w:top w:val="single" w:sz="6" w:space="0" w:color="000000"/>
              <w:left w:val="single" w:sz="6" w:space="0" w:color="000000"/>
              <w:bottom w:val="single" w:sz="6" w:space="0" w:color="000000"/>
              <w:right w:val="single" w:sz="6" w:space="0" w:color="000000"/>
            </w:tcBorders>
            <w:vAlign w:val="center"/>
          </w:tcPr>
          <w:p w14:paraId="0C53477F"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G-EX: Exchange of Firm Energy.</w:t>
            </w:r>
          </w:p>
          <w:p w14:paraId="71EA8C4E"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An exchange of firm energy where one entity delivers energy to another entity at one point on the grid and receives an agreed upon amount of energy from that entity at another point on the grid.</w:t>
            </w:r>
          </w:p>
        </w:tc>
        <w:tc>
          <w:tcPr>
            <w:tcW w:w="2790" w:type="dxa"/>
            <w:tcBorders>
              <w:top w:val="single" w:sz="6" w:space="0" w:color="000000"/>
              <w:left w:val="single" w:sz="6" w:space="0" w:color="000000"/>
              <w:bottom w:val="single" w:sz="6" w:space="0" w:color="000000"/>
              <w:right w:val="single" w:sz="6" w:space="0" w:color="000000"/>
            </w:tcBorders>
            <w:vAlign w:val="center"/>
          </w:tcPr>
          <w:p w14:paraId="4E157CE1"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INT-018-WECC-CRT-1.2</w:t>
            </w:r>
          </w:p>
        </w:tc>
      </w:tr>
      <w:tr w:rsidR="0047520E" w:rsidRPr="00B2719B" w14:paraId="75737E0D"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130113D2"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Firm Contingent</w:t>
            </w:r>
          </w:p>
        </w:tc>
        <w:tc>
          <w:tcPr>
            <w:tcW w:w="1480" w:type="dxa"/>
            <w:tcBorders>
              <w:top w:val="single" w:sz="6" w:space="0" w:color="000000"/>
              <w:left w:val="single" w:sz="6" w:space="0" w:color="000000"/>
              <w:bottom w:val="single" w:sz="6" w:space="0" w:color="000000"/>
              <w:right w:val="single" w:sz="6" w:space="0" w:color="000000"/>
            </w:tcBorders>
            <w:vAlign w:val="center"/>
          </w:tcPr>
          <w:p w14:paraId="2B6223B3"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September 18, 2014</w:t>
            </w:r>
          </w:p>
        </w:tc>
        <w:tc>
          <w:tcPr>
            <w:tcW w:w="4050" w:type="dxa"/>
            <w:tcBorders>
              <w:top w:val="single" w:sz="6" w:space="0" w:color="000000"/>
              <w:left w:val="single" w:sz="6" w:space="0" w:color="000000"/>
              <w:bottom w:val="single" w:sz="6" w:space="0" w:color="000000"/>
              <w:right w:val="single" w:sz="6" w:space="0" w:color="000000"/>
            </w:tcBorders>
            <w:vAlign w:val="center"/>
          </w:tcPr>
          <w:p w14:paraId="6F005DA5"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G-FC: Firm Contingent.</w:t>
            </w:r>
          </w:p>
          <w:p w14:paraId="7C15780D"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The energy is from a designated generating unit or source. This product may be interrupted only to the extent the output capability of the designated unit or source has been reduced due to a deration or outage of the designated unit or source. A G-FC product cannot be interrupted for economic reasons.</w:t>
            </w:r>
          </w:p>
        </w:tc>
        <w:tc>
          <w:tcPr>
            <w:tcW w:w="2790" w:type="dxa"/>
            <w:tcBorders>
              <w:top w:val="single" w:sz="6" w:space="0" w:color="000000"/>
              <w:left w:val="single" w:sz="6" w:space="0" w:color="000000"/>
              <w:bottom w:val="single" w:sz="6" w:space="0" w:color="000000"/>
              <w:right w:val="single" w:sz="6" w:space="0" w:color="000000"/>
            </w:tcBorders>
            <w:vAlign w:val="center"/>
          </w:tcPr>
          <w:p w14:paraId="5EAB8754" w14:textId="2624C4D9" w:rsidR="0047520E" w:rsidRPr="00B2719B" w:rsidRDefault="00FE295B" w:rsidP="003B7138">
            <w:pPr>
              <w:pStyle w:val="TableParagraph"/>
              <w:spacing w:after="60"/>
              <w:rPr>
                <w:rFonts w:ascii="Palatino Linotype" w:eastAsia="Arial" w:hAnsi="Palatino Linotype" w:cs="Arial"/>
              </w:rPr>
            </w:pPr>
            <w:r w:rsidRPr="00B2719B">
              <w:rPr>
                <w:rFonts w:ascii="Palatino Linotype" w:hAnsi="Palatino Linotype"/>
              </w:rPr>
              <w:t>INT-018-WECC-CRT-1.2</w:t>
            </w:r>
          </w:p>
        </w:tc>
      </w:tr>
      <w:tr w:rsidR="0047520E" w:rsidRPr="00B2719B" w14:paraId="6EC7B86E"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6AB79F13"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Firm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215E7A8A"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September 18, 2014</w:t>
            </w:r>
          </w:p>
        </w:tc>
        <w:tc>
          <w:tcPr>
            <w:tcW w:w="4050" w:type="dxa"/>
            <w:tcBorders>
              <w:top w:val="single" w:sz="6" w:space="0" w:color="000000"/>
              <w:left w:val="single" w:sz="6" w:space="0" w:color="000000"/>
              <w:bottom w:val="single" w:sz="6" w:space="0" w:color="000000"/>
              <w:right w:val="single" w:sz="6" w:space="0" w:color="000000"/>
            </w:tcBorders>
            <w:vAlign w:val="center"/>
          </w:tcPr>
          <w:p w14:paraId="408FC36B"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G-F: Firm Energy.</w:t>
            </w:r>
          </w:p>
          <w:p w14:paraId="6648BE0E"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eastAsia="Arial" w:hAnsi="Palatino Linotype" w:cs="Arial"/>
              </w:rPr>
              <w:t>This product may be curtailed only in the event of a reliability condition or to meet Seller’s public utility or statutory obligations for reliability of service to native load. A G-F product cannot be interrupted for economic reasons.</w:t>
            </w:r>
          </w:p>
        </w:tc>
        <w:tc>
          <w:tcPr>
            <w:tcW w:w="2790" w:type="dxa"/>
            <w:tcBorders>
              <w:top w:val="single" w:sz="6" w:space="0" w:color="000000"/>
              <w:left w:val="single" w:sz="6" w:space="0" w:color="000000"/>
              <w:bottom w:val="single" w:sz="6" w:space="0" w:color="000000"/>
              <w:right w:val="single" w:sz="6" w:space="0" w:color="000000"/>
            </w:tcBorders>
            <w:vAlign w:val="center"/>
          </w:tcPr>
          <w:p w14:paraId="0FB0054B" w14:textId="531C0484" w:rsidR="00FD5A5B" w:rsidRPr="00B2719B" w:rsidRDefault="00FE295B" w:rsidP="003B7138">
            <w:pPr>
              <w:pStyle w:val="TableParagraph"/>
              <w:spacing w:after="60"/>
              <w:rPr>
                <w:rFonts w:ascii="Palatino Linotype" w:eastAsia="Arial" w:hAnsi="Palatino Linotype" w:cs="Arial"/>
              </w:rPr>
            </w:pPr>
            <w:r w:rsidRPr="00B2719B">
              <w:rPr>
                <w:rFonts w:ascii="Palatino Linotype" w:hAnsi="Palatino Linotype"/>
              </w:rPr>
              <w:t xml:space="preserve">INT-018-WECC-CRT-1.2 </w:t>
            </w:r>
          </w:p>
        </w:tc>
      </w:tr>
      <w:tr w:rsidR="0047520E" w:rsidRPr="00B2719B" w14:paraId="4E592F1A"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7EFB37E9"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Firm Provisional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069CF1D7"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September 18, 2014</w:t>
            </w:r>
          </w:p>
        </w:tc>
        <w:tc>
          <w:tcPr>
            <w:tcW w:w="4050" w:type="dxa"/>
            <w:tcBorders>
              <w:top w:val="single" w:sz="6" w:space="0" w:color="000000"/>
              <w:left w:val="single" w:sz="6" w:space="0" w:color="000000"/>
              <w:bottom w:val="single" w:sz="6" w:space="0" w:color="000000"/>
              <w:right w:val="single" w:sz="6" w:space="0" w:color="000000"/>
            </w:tcBorders>
            <w:vAlign w:val="center"/>
          </w:tcPr>
          <w:p w14:paraId="4DF672E3"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G-FP: Firm Provisional Energy.</w:t>
            </w:r>
          </w:p>
          <w:p w14:paraId="02A247A2"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This product may be interrupted only if the interruption is within the recall time and for conditions allowed by applicable provisions governing interruption of service, as mutually agreed to by the parties. A G-FP product cannot be interrupted for economic reasons.</w:t>
            </w:r>
          </w:p>
        </w:tc>
        <w:tc>
          <w:tcPr>
            <w:tcW w:w="2790" w:type="dxa"/>
            <w:tcBorders>
              <w:top w:val="single" w:sz="6" w:space="0" w:color="000000"/>
              <w:left w:val="single" w:sz="6" w:space="0" w:color="000000"/>
              <w:bottom w:val="single" w:sz="6" w:space="0" w:color="000000"/>
              <w:right w:val="single" w:sz="6" w:space="0" w:color="000000"/>
            </w:tcBorders>
            <w:vAlign w:val="center"/>
          </w:tcPr>
          <w:p w14:paraId="26A2CB2C" w14:textId="43AEE82F" w:rsidR="0047520E" w:rsidRPr="00B2719B" w:rsidRDefault="00FE295B" w:rsidP="003B7138">
            <w:pPr>
              <w:pStyle w:val="TableParagraph"/>
              <w:spacing w:after="60"/>
              <w:rPr>
                <w:rFonts w:ascii="Palatino Linotype" w:eastAsia="Arial" w:hAnsi="Palatino Linotype" w:cs="Arial"/>
              </w:rPr>
            </w:pPr>
            <w:r w:rsidRPr="00B2719B">
              <w:rPr>
                <w:rFonts w:ascii="Palatino Linotype" w:hAnsi="Palatino Linotype"/>
              </w:rPr>
              <w:t>INT-018-WECC-CRT-1.2</w:t>
            </w:r>
          </w:p>
        </w:tc>
      </w:tr>
      <w:tr w:rsidR="0047520E" w:rsidRPr="00B2719B" w14:paraId="0F983594"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4E70DA4D"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Hourly Firm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5A739E5A"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September 18, 2014</w:t>
            </w:r>
          </w:p>
        </w:tc>
        <w:tc>
          <w:tcPr>
            <w:tcW w:w="4050" w:type="dxa"/>
            <w:tcBorders>
              <w:top w:val="single" w:sz="6" w:space="0" w:color="000000"/>
              <w:left w:val="single" w:sz="6" w:space="0" w:color="000000"/>
              <w:bottom w:val="single" w:sz="6" w:space="0" w:color="000000"/>
              <w:right w:val="single" w:sz="6" w:space="0" w:color="000000"/>
            </w:tcBorders>
            <w:vAlign w:val="center"/>
          </w:tcPr>
          <w:p w14:paraId="208ECF7E"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G-F1: Hourly Firm Energy.</w:t>
            </w:r>
          </w:p>
          <w:p w14:paraId="21BAE4B9"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This product may be interrupted, consistent with the provisions of the transaction, provided the Purchasing-Selling Entity or Load-Serving Entity receives notification of the interruption 40 minutes or more prior to the start of the operating hour. A G-F1 product cannot be interrupted for economic reasons.</w:t>
            </w:r>
          </w:p>
        </w:tc>
        <w:tc>
          <w:tcPr>
            <w:tcW w:w="2790" w:type="dxa"/>
            <w:tcBorders>
              <w:top w:val="single" w:sz="6" w:space="0" w:color="000000"/>
              <w:left w:val="single" w:sz="6" w:space="0" w:color="000000"/>
              <w:bottom w:val="single" w:sz="6" w:space="0" w:color="000000"/>
              <w:right w:val="single" w:sz="6" w:space="0" w:color="000000"/>
            </w:tcBorders>
            <w:vAlign w:val="center"/>
          </w:tcPr>
          <w:p w14:paraId="19E55FC8" w14:textId="449E4A81" w:rsidR="0047520E" w:rsidRPr="00B2719B" w:rsidRDefault="00FE295B" w:rsidP="003B7138">
            <w:pPr>
              <w:pStyle w:val="TableParagraph"/>
              <w:spacing w:after="60"/>
              <w:rPr>
                <w:rFonts w:ascii="Palatino Linotype" w:eastAsia="Arial" w:hAnsi="Palatino Linotype" w:cs="Arial"/>
              </w:rPr>
            </w:pPr>
            <w:r w:rsidRPr="00B2719B">
              <w:rPr>
                <w:rFonts w:ascii="Palatino Linotype" w:hAnsi="Palatino Linotype"/>
              </w:rPr>
              <w:t>INT-018-WECC-CRT-1.2</w:t>
            </w:r>
          </w:p>
        </w:tc>
      </w:tr>
      <w:tr w:rsidR="0047520E" w:rsidRPr="00B2719B" w14:paraId="0D530970"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5D4C31E6"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Non-Firm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4F233B2A"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September 18, 2014</w:t>
            </w:r>
          </w:p>
        </w:tc>
        <w:tc>
          <w:tcPr>
            <w:tcW w:w="4050" w:type="dxa"/>
            <w:tcBorders>
              <w:top w:val="single" w:sz="6" w:space="0" w:color="000000"/>
              <w:left w:val="single" w:sz="6" w:space="0" w:color="000000"/>
              <w:bottom w:val="single" w:sz="6" w:space="0" w:color="000000"/>
              <w:right w:val="single" w:sz="6" w:space="0" w:color="000000"/>
            </w:tcBorders>
            <w:vAlign w:val="center"/>
          </w:tcPr>
          <w:p w14:paraId="15A1A8B4"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G-NF: Non-firm Energy. This product may be interrupted for any reason or no reason, without liability on the part of either the buyer or seller.</w:t>
            </w:r>
          </w:p>
        </w:tc>
        <w:tc>
          <w:tcPr>
            <w:tcW w:w="2790" w:type="dxa"/>
            <w:tcBorders>
              <w:top w:val="single" w:sz="6" w:space="0" w:color="000000"/>
              <w:left w:val="single" w:sz="6" w:space="0" w:color="000000"/>
              <w:bottom w:val="single" w:sz="6" w:space="0" w:color="000000"/>
              <w:right w:val="single" w:sz="6" w:space="0" w:color="000000"/>
            </w:tcBorders>
            <w:vAlign w:val="center"/>
          </w:tcPr>
          <w:p w14:paraId="75D1D130" w14:textId="30E9CBCE" w:rsidR="0047520E" w:rsidRPr="00B2719B" w:rsidRDefault="00FE295B" w:rsidP="003B7138">
            <w:pPr>
              <w:pStyle w:val="TableParagraph"/>
              <w:spacing w:after="60"/>
              <w:rPr>
                <w:rFonts w:ascii="Palatino Linotype" w:eastAsia="Arial" w:hAnsi="Palatino Linotype" w:cs="Arial"/>
              </w:rPr>
            </w:pPr>
            <w:r w:rsidRPr="00B2719B">
              <w:rPr>
                <w:rFonts w:ascii="Palatino Linotype" w:hAnsi="Palatino Linotype"/>
              </w:rPr>
              <w:t>INT-018-WECC-CRT-1.2</w:t>
            </w:r>
          </w:p>
        </w:tc>
      </w:tr>
      <w:tr w:rsidR="0047520E" w:rsidRPr="00B2719B" w14:paraId="2C3BCC50" w14:textId="77777777" w:rsidTr="00594572">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459DCFD9"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Primary Reference Source (PRS)</w:t>
            </w:r>
          </w:p>
        </w:tc>
        <w:tc>
          <w:tcPr>
            <w:tcW w:w="1480" w:type="dxa"/>
            <w:tcBorders>
              <w:top w:val="single" w:sz="6" w:space="0" w:color="000000"/>
              <w:left w:val="single" w:sz="6" w:space="0" w:color="000000"/>
              <w:bottom w:val="single" w:sz="6" w:space="0" w:color="000000"/>
              <w:right w:val="single" w:sz="6" w:space="0" w:color="000000"/>
            </w:tcBorders>
            <w:vAlign w:val="center"/>
          </w:tcPr>
          <w:p w14:paraId="523BA095" w14:textId="77777777" w:rsidR="0047520E" w:rsidRPr="00B2719B" w:rsidRDefault="0047520E" w:rsidP="003B7138">
            <w:pPr>
              <w:pStyle w:val="TableParagraph"/>
              <w:spacing w:after="60"/>
              <w:ind w:left="-115"/>
              <w:jc w:val="center"/>
              <w:rPr>
                <w:rFonts w:ascii="Palatino Linotype" w:eastAsia="Arial" w:hAnsi="Palatino Linotype" w:cs="Arial"/>
              </w:rPr>
            </w:pPr>
            <w:r w:rsidRPr="00B2719B">
              <w:rPr>
                <w:rFonts w:ascii="Palatino Linotype" w:hAnsi="Palatino Linotype"/>
              </w:rPr>
              <w:t>December 6, 2016</w:t>
            </w:r>
          </w:p>
        </w:tc>
        <w:tc>
          <w:tcPr>
            <w:tcW w:w="4050" w:type="dxa"/>
            <w:tcBorders>
              <w:top w:val="single" w:sz="6" w:space="0" w:color="000000"/>
              <w:left w:val="single" w:sz="6" w:space="0" w:color="000000"/>
              <w:bottom w:val="single" w:sz="6" w:space="0" w:color="000000"/>
              <w:right w:val="single" w:sz="6" w:space="0" w:color="000000"/>
            </w:tcBorders>
            <w:vAlign w:val="center"/>
          </w:tcPr>
          <w:p w14:paraId="548C4B6B" w14:textId="77777777" w:rsidR="0047520E" w:rsidRPr="00B2719B" w:rsidRDefault="0047520E" w:rsidP="003B7138">
            <w:pPr>
              <w:pStyle w:val="TableParagraph"/>
              <w:spacing w:after="60"/>
              <w:rPr>
                <w:rFonts w:ascii="Palatino Linotype" w:eastAsia="Arial" w:hAnsi="Palatino Linotype" w:cs="Arial"/>
              </w:rPr>
            </w:pPr>
            <w:r w:rsidRPr="00B2719B">
              <w:rPr>
                <w:rFonts w:ascii="Palatino Linotype" w:hAnsi="Palatino Linotype"/>
              </w:rPr>
              <w:t>Primary Reference Source equipment provides a timing signal whose long-term accuracy is maintained at 1x10</w:t>
            </w:r>
            <w:r w:rsidRPr="00B2719B">
              <w:rPr>
                <w:rFonts w:ascii="Palatino Linotype" w:hAnsi="Palatino Linotype"/>
                <w:vertAlign w:val="superscript"/>
              </w:rPr>
              <w:t xml:space="preserve">-11 </w:t>
            </w:r>
            <w:r w:rsidRPr="00B2719B">
              <w:rPr>
                <w:rFonts w:ascii="Palatino Linotype" w:hAnsi="Palatino Linotype"/>
              </w:rPr>
              <w:t>or better with verification to universal time coordinated (UTC). A PRS signal is used as the basis of reference for control of other clocks within a telecommunications network.</w:t>
            </w:r>
          </w:p>
        </w:tc>
        <w:tc>
          <w:tcPr>
            <w:tcW w:w="2790" w:type="dxa"/>
            <w:tcBorders>
              <w:top w:val="single" w:sz="6" w:space="0" w:color="000000"/>
              <w:left w:val="single" w:sz="6" w:space="0" w:color="000000"/>
              <w:bottom w:val="single" w:sz="6" w:space="0" w:color="000000"/>
              <w:right w:val="single" w:sz="6" w:space="0" w:color="000000"/>
            </w:tcBorders>
            <w:vAlign w:val="center"/>
          </w:tcPr>
          <w:p w14:paraId="6FDD1B21" w14:textId="67EAA331" w:rsidR="0047520E" w:rsidRPr="00B2719B" w:rsidRDefault="0047520E" w:rsidP="003B7138">
            <w:pPr>
              <w:pStyle w:val="TableParagraph"/>
              <w:spacing w:after="60"/>
              <w:rPr>
                <w:rFonts w:ascii="Palatino Linotype" w:hAnsi="Palatino Linotype"/>
              </w:rPr>
            </w:pPr>
            <w:r w:rsidRPr="00B2719B">
              <w:rPr>
                <w:rFonts w:ascii="Palatino Linotype" w:hAnsi="Palatino Linotype"/>
              </w:rPr>
              <w:t>COM-001-WECC-CRT-</w:t>
            </w:r>
            <w:r w:rsidR="00FD5A5B" w:rsidRPr="00B2719B">
              <w:rPr>
                <w:rFonts w:ascii="Palatino Linotype" w:hAnsi="Palatino Linotype"/>
              </w:rPr>
              <w:t>1</w:t>
            </w:r>
          </w:p>
          <w:p w14:paraId="2536392A" w14:textId="0968D992" w:rsidR="00FD5A5B" w:rsidRPr="00B2719B" w:rsidRDefault="00FD5A5B" w:rsidP="003B7138">
            <w:pPr>
              <w:pStyle w:val="TableParagraph"/>
              <w:spacing w:after="60"/>
              <w:rPr>
                <w:rFonts w:ascii="Palatino Linotype" w:eastAsia="Arial" w:hAnsi="Palatino Linotype" w:cs="Arial"/>
              </w:rPr>
            </w:pPr>
          </w:p>
        </w:tc>
      </w:tr>
    </w:tbl>
    <w:p w14:paraId="729900C2" w14:textId="289D6CF7" w:rsidR="00594572" w:rsidRPr="00EB4FD0" w:rsidRDefault="00594572" w:rsidP="00594572">
      <w:pPr>
        <w:pStyle w:val="Heading1"/>
        <w:rPr>
          <w:sz w:val="24"/>
        </w:rPr>
      </w:pPr>
      <w:r>
        <w:rPr>
          <w:rFonts w:asciiTheme="minorHAnsi" w:hAnsiTheme="minorHAnsi"/>
          <w:sz w:val="22"/>
          <w:szCs w:val="22"/>
        </w:rPr>
        <w:br w:type="page"/>
      </w:r>
      <w:r>
        <w:rPr>
          <w:sz w:val="24"/>
        </w:rPr>
        <w:t>Version History</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701"/>
        <w:gridCol w:w="1934"/>
        <w:gridCol w:w="5365"/>
      </w:tblGrid>
      <w:tr w:rsidR="0047520E" w:rsidRPr="00834841" w14:paraId="76C7A16F" w14:textId="77777777" w:rsidTr="00005571">
        <w:trPr>
          <w:cantSplit/>
        </w:trPr>
        <w:tc>
          <w:tcPr>
            <w:tcW w:w="1080" w:type="dxa"/>
            <w:shd w:val="clear" w:color="auto" w:fill="auto"/>
          </w:tcPr>
          <w:p w14:paraId="0A63043E" w14:textId="7625CF80" w:rsidR="0047520E" w:rsidRPr="00834841" w:rsidRDefault="0047520E" w:rsidP="003B7138">
            <w:pPr>
              <w:pStyle w:val="Default"/>
              <w:jc w:val="center"/>
              <w:rPr>
                <w:rFonts w:ascii="Palatino Linotype" w:hAnsi="Palatino Linotype"/>
                <w:sz w:val="20"/>
                <w:szCs w:val="20"/>
              </w:rPr>
            </w:pPr>
            <w:r w:rsidRPr="00834841">
              <w:rPr>
                <w:rFonts w:ascii="Palatino Linotype" w:hAnsi="Palatino Linotype"/>
                <w:sz w:val="20"/>
                <w:szCs w:val="20"/>
              </w:rPr>
              <w:t>0</w:t>
            </w:r>
          </w:p>
        </w:tc>
        <w:tc>
          <w:tcPr>
            <w:tcW w:w="1701" w:type="dxa"/>
            <w:shd w:val="clear" w:color="auto" w:fill="auto"/>
          </w:tcPr>
          <w:p w14:paraId="13A67659" w14:textId="77777777" w:rsidR="0047520E" w:rsidRPr="00834841" w:rsidRDefault="0047520E" w:rsidP="003B7138">
            <w:pPr>
              <w:pStyle w:val="Default"/>
              <w:rPr>
                <w:rFonts w:ascii="Palatino Linotype" w:hAnsi="Palatino Linotype"/>
                <w:sz w:val="20"/>
                <w:szCs w:val="20"/>
              </w:rPr>
            </w:pPr>
            <w:r w:rsidRPr="00834841">
              <w:rPr>
                <w:rFonts w:ascii="Palatino Linotype" w:hAnsi="Palatino Linotype"/>
                <w:sz w:val="20"/>
                <w:szCs w:val="20"/>
              </w:rPr>
              <w:t xml:space="preserve">May 1, 2014 </w:t>
            </w:r>
          </w:p>
        </w:tc>
        <w:tc>
          <w:tcPr>
            <w:tcW w:w="1934" w:type="dxa"/>
            <w:shd w:val="clear" w:color="auto" w:fill="auto"/>
          </w:tcPr>
          <w:p w14:paraId="7416F42B" w14:textId="77777777" w:rsidR="0047520E" w:rsidRPr="00834841" w:rsidRDefault="0047520E" w:rsidP="003B7138">
            <w:pPr>
              <w:pStyle w:val="Default"/>
              <w:rPr>
                <w:rFonts w:ascii="Palatino Linotype" w:hAnsi="Palatino Linotype"/>
                <w:sz w:val="20"/>
                <w:szCs w:val="20"/>
              </w:rPr>
            </w:pPr>
            <w:r w:rsidRPr="00834841">
              <w:rPr>
                <w:rFonts w:ascii="Palatino Linotype" w:hAnsi="Palatino Linotype"/>
                <w:sz w:val="20"/>
                <w:szCs w:val="20"/>
              </w:rPr>
              <w:t xml:space="preserve">Initial Update </w:t>
            </w:r>
          </w:p>
        </w:tc>
        <w:tc>
          <w:tcPr>
            <w:tcW w:w="5365" w:type="dxa"/>
            <w:shd w:val="clear" w:color="auto" w:fill="auto"/>
          </w:tcPr>
          <w:p w14:paraId="2FA20C89" w14:textId="77777777" w:rsidR="0047520E" w:rsidRPr="00834841" w:rsidRDefault="0047520E" w:rsidP="003B7138">
            <w:pPr>
              <w:pStyle w:val="Default"/>
              <w:rPr>
                <w:rFonts w:ascii="Palatino Linotype" w:hAnsi="Palatino Linotype"/>
                <w:sz w:val="20"/>
                <w:szCs w:val="20"/>
              </w:rPr>
            </w:pPr>
            <w:r w:rsidRPr="00834841">
              <w:rPr>
                <w:rFonts w:ascii="Palatino Linotype" w:hAnsi="Palatino Linotype"/>
                <w:sz w:val="20"/>
                <w:szCs w:val="20"/>
              </w:rPr>
              <w:t xml:space="preserve">All current WECC Regional Business Practices and WECC Criteria were reviewed for inclusion into Version Zero. </w:t>
            </w:r>
          </w:p>
        </w:tc>
      </w:tr>
      <w:tr w:rsidR="0047520E" w:rsidRPr="00834841" w14:paraId="2FF36A16" w14:textId="77777777" w:rsidTr="00005571">
        <w:trPr>
          <w:cantSplit/>
          <w:trHeight w:val="146"/>
        </w:trPr>
        <w:tc>
          <w:tcPr>
            <w:tcW w:w="0" w:type="auto"/>
            <w:shd w:val="clear" w:color="auto" w:fill="auto"/>
          </w:tcPr>
          <w:p w14:paraId="63890BF8" w14:textId="77777777" w:rsidR="0047520E" w:rsidRPr="00834841" w:rsidRDefault="0047520E" w:rsidP="003B7138">
            <w:pPr>
              <w:autoSpaceDE w:val="0"/>
              <w:autoSpaceDN w:val="0"/>
              <w:adjustRightInd w:val="0"/>
              <w:spacing w:after="0" w:line="240" w:lineRule="auto"/>
              <w:jc w:val="center"/>
              <w:rPr>
                <w:rFonts w:ascii="Palatino Linotype" w:hAnsi="Palatino Linotype" w:cs="Arial"/>
                <w:color w:val="000000"/>
                <w:sz w:val="20"/>
                <w:szCs w:val="20"/>
              </w:rPr>
            </w:pPr>
            <w:r w:rsidRPr="00834841">
              <w:rPr>
                <w:rFonts w:ascii="Palatino Linotype" w:hAnsi="Palatino Linotype" w:cs="Arial"/>
                <w:color w:val="000000"/>
                <w:sz w:val="20"/>
                <w:szCs w:val="20"/>
              </w:rPr>
              <w:t>0</w:t>
            </w:r>
          </w:p>
        </w:tc>
        <w:tc>
          <w:tcPr>
            <w:tcW w:w="1701" w:type="dxa"/>
            <w:shd w:val="clear" w:color="auto" w:fill="auto"/>
          </w:tcPr>
          <w:p w14:paraId="1B9D119F"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May 5, 2014 </w:t>
            </w:r>
          </w:p>
        </w:tc>
        <w:tc>
          <w:tcPr>
            <w:tcW w:w="1934" w:type="dxa"/>
            <w:shd w:val="clear" w:color="auto" w:fill="auto"/>
          </w:tcPr>
          <w:p w14:paraId="73B9C325"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Errata </w:t>
            </w:r>
          </w:p>
        </w:tc>
        <w:tc>
          <w:tcPr>
            <w:tcW w:w="5365" w:type="dxa"/>
            <w:shd w:val="clear" w:color="auto" w:fill="auto"/>
          </w:tcPr>
          <w:p w14:paraId="38806019"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Included Contingent Firm. Previously omitted. </w:t>
            </w:r>
          </w:p>
        </w:tc>
      </w:tr>
      <w:tr w:rsidR="0047520E" w:rsidRPr="00834841" w14:paraId="2BE07804" w14:textId="77777777" w:rsidTr="00005571">
        <w:trPr>
          <w:cantSplit/>
          <w:trHeight w:val="146"/>
        </w:trPr>
        <w:tc>
          <w:tcPr>
            <w:tcW w:w="0" w:type="auto"/>
            <w:shd w:val="clear" w:color="auto" w:fill="auto"/>
          </w:tcPr>
          <w:p w14:paraId="2839A104" w14:textId="77777777" w:rsidR="0047520E" w:rsidRPr="00834841" w:rsidRDefault="0047520E" w:rsidP="003B7138">
            <w:pPr>
              <w:autoSpaceDE w:val="0"/>
              <w:autoSpaceDN w:val="0"/>
              <w:adjustRightInd w:val="0"/>
              <w:spacing w:after="0" w:line="240" w:lineRule="auto"/>
              <w:jc w:val="center"/>
              <w:rPr>
                <w:rFonts w:ascii="Palatino Linotype" w:hAnsi="Palatino Linotype" w:cs="Arial"/>
                <w:color w:val="000000"/>
                <w:sz w:val="20"/>
                <w:szCs w:val="20"/>
              </w:rPr>
            </w:pPr>
            <w:r w:rsidRPr="00834841">
              <w:rPr>
                <w:rFonts w:ascii="Palatino Linotype" w:hAnsi="Palatino Linotype" w:cs="Arial"/>
                <w:color w:val="000000"/>
                <w:sz w:val="20"/>
                <w:szCs w:val="20"/>
              </w:rPr>
              <w:t>1</w:t>
            </w:r>
          </w:p>
        </w:tc>
        <w:tc>
          <w:tcPr>
            <w:tcW w:w="1701" w:type="dxa"/>
            <w:shd w:val="clear" w:color="auto" w:fill="auto"/>
          </w:tcPr>
          <w:p w14:paraId="45E2D3D2"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May 21, 2014 </w:t>
            </w:r>
          </w:p>
        </w:tc>
        <w:tc>
          <w:tcPr>
            <w:tcW w:w="1934" w:type="dxa"/>
            <w:shd w:val="clear" w:color="auto" w:fill="auto"/>
          </w:tcPr>
          <w:p w14:paraId="29E4F010"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WSC approved </w:t>
            </w:r>
          </w:p>
        </w:tc>
        <w:tc>
          <w:tcPr>
            <w:tcW w:w="5365" w:type="dxa"/>
            <w:shd w:val="clear" w:color="auto" w:fill="auto"/>
          </w:tcPr>
          <w:p w14:paraId="4EDA684F"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Preamble added. </w:t>
            </w:r>
          </w:p>
        </w:tc>
      </w:tr>
      <w:tr w:rsidR="0047520E" w:rsidRPr="00834841" w14:paraId="51B1106B" w14:textId="77777777" w:rsidTr="00005571">
        <w:trPr>
          <w:cantSplit/>
          <w:trHeight w:val="478"/>
        </w:trPr>
        <w:tc>
          <w:tcPr>
            <w:tcW w:w="0" w:type="auto"/>
            <w:shd w:val="clear" w:color="auto" w:fill="auto"/>
          </w:tcPr>
          <w:p w14:paraId="5D68F8B5" w14:textId="77777777" w:rsidR="0047520E" w:rsidRPr="00834841" w:rsidRDefault="0047520E" w:rsidP="003B7138">
            <w:pPr>
              <w:autoSpaceDE w:val="0"/>
              <w:autoSpaceDN w:val="0"/>
              <w:adjustRightInd w:val="0"/>
              <w:spacing w:after="0" w:line="240" w:lineRule="auto"/>
              <w:jc w:val="center"/>
              <w:rPr>
                <w:rFonts w:ascii="Palatino Linotype" w:hAnsi="Palatino Linotype" w:cs="Arial"/>
                <w:color w:val="000000"/>
                <w:sz w:val="20"/>
                <w:szCs w:val="20"/>
              </w:rPr>
            </w:pPr>
            <w:r w:rsidRPr="00834841">
              <w:rPr>
                <w:rFonts w:ascii="Palatino Linotype" w:hAnsi="Palatino Linotype" w:cs="Arial"/>
                <w:color w:val="000000"/>
                <w:sz w:val="20"/>
                <w:szCs w:val="20"/>
              </w:rPr>
              <w:t>1</w:t>
            </w:r>
          </w:p>
        </w:tc>
        <w:tc>
          <w:tcPr>
            <w:tcW w:w="1701" w:type="dxa"/>
            <w:shd w:val="clear" w:color="auto" w:fill="auto"/>
          </w:tcPr>
          <w:p w14:paraId="1F1A2DFE"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June 25, 2014 </w:t>
            </w:r>
          </w:p>
        </w:tc>
        <w:tc>
          <w:tcPr>
            <w:tcW w:w="1934" w:type="dxa"/>
            <w:shd w:val="clear" w:color="auto" w:fill="auto"/>
          </w:tcPr>
          <w:p w14:paraId="4A6334E0"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WECC Board of Directors (Board) </w:t>
            </w:r>
          </w:p>
        </w:tc>
        <w:tc>
          <w:tcPr>
            <w:tcW w:w="5365" w:type="dxa"/>
            <w:shd w:val="clear" w:color="auto" w:fill="auto"/>
          </w:tcPr>
          <w:p w14:paraId="5AF059C7"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WECC Board eliminated the Regional Business Practice (RBP) designation in favor of the WECC Regional Criterion (CRT) designation. See Board minutes for June 25, 2014. </w:t>
            </w:r>
          </w:p>
        </w:tc>
      </w:tr>
      <w:tr w:rsidR="0047520E" w:rsidRPr="00834841" w14:paraId="3A3AE413" w14:textId="77777777" w:rsidTr="00005571">
        <w:trPr>
          <w:cantSplit/>
          <w:trHeight w:val="593"/>
        </w:trPr>
        <w:tc>
          <w:tcPr>
            <w:tcW w:w="0" w:type="auto"/>
            <w:shd w:val="clear" w:color="auto" w:fill="auto"/>
          </w:tcPr>
          <w:p w14:paraId="10CFACA5" w14:textId="77777777" w:rsidR="0047520E" w:rsidRPr="00834841" w:rsidRDefault="0047520E" w:rsidP="003B7138">
            <w:pPr>
              <w:autoSpaceDE w:val="0"/>
              <w:autoSpaceDN w:val="0"/>
              <w:adjustRightInd w:val="0"/>
              <w:spacing w:after="0" w:line="240" w:lineRule="auto"/>
              <w:jc w:val="center"/>
              <w:rPr>
                <w:rFonts w:ascii="Palatino Linotype" w:hAnsi="Palatino Linotype" w:cs="Arial"/>
                <w:color w:val="000000"/>
                <w:sz w:val="20"/>
                <w:szCs w:val="20"/>
              </w:rPr>
            </w:pPr>
            <w:r w:rsidRPr="00834841">
              <w:rPr>
                <w:rFonts w:ascii="Palatino Linotype" w:hAnsi="Palatino Linotype" w:cs="Arial"/>
                <w:color w:val="000000"/>
                <w:sz w:val="20"/>
                <w:szCs w:val="20"/>
              </w:rPr>
              <w:t>1.1</w:t>
            </w:r>
          </w:p>
        </w:tc>
        <w:tc>
          <w:tcPr>
            <w:tcW w:w="1701" w:type="dxa"/>
            <w:shd w:val="clear" w:color="auto" w:fill="auto"/>
          </w:tcPr>
          <w:p w14:paraId="0A1EEC45"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August 11, 2014 </w:t>
            </w:r>
          </w:p>
        </w:tc>
        <w:tc>
          <w:tcPr>
            <w:tcW w:w="1934" w:type="dxa"/>
            <w:shd w:val="clear" w:color="auto" w:fill="auto"/>
          </w:tcPr>
          <w:p w14:paraId="5F5ABAA1"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Errata </w:t>
            </w:r>
          </w:p>
        </w:tc>
        <w:tc>
          <w:tcPr>
            <w:tcW w:w="5365" w:type="dxa"/>
            <w:shd w:val="clear" w:color="auto" w:fill="auto"/>
          </w:tcPr>
          <w:p w14:paraId="36B688BB"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Firm Contingent “</w:t>
            </w:r>
            <w:r w:rsidRPr="00834841">
              <w:rPr>
                <w:rFonts w:ascii="Palatino Linotype" w:hAnsi="Palatino Linotype" w:cs="Arial"/>
                <w:i/>
                <w:iCs/>
                <w:color w:val="000000"/>
                <w:sz w:val="20"/>
                <w:szCs w:val="20"/>
              </w:rPr>
              <w:t xml:space="preserve">Energy” </w:t>
            </w:r>
            <w:r w:rsidRPr="00834841">
              <w:rPr>
                <w:rFonts w:ascii="Palatino Linotype" w:hAnsi="Palatino Linotype" w:cs="Arial"/>
                <w:color w:val="000000"/>
                <w:sz w:val="20"/>
                <w:szCs w:val="20"/>
              </w:rPr>
              <w:t xml:space="preserve">was deleted from the Term to match INT-018-WECC-CRT-1. </w:t>
            </w:r>
          </w:p>
          <w:p w14:paraId="13A84A66"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In the definition for “Capacity Associated with Energy Recallable for Reserves” Authorities was changed to the possessive form “Authority’s.” </w:t>
            </w:r>
          </w:p>
        </w:tc>
      </w:tr>
      <w:tr w:rsidR="0047520E" w:rsidRPr="00834841" w14:paraId="396E5F35" w14:textId="77777777" w:rsidTr="00005571">
        <w:trPr>
          <w:cantSplit/>
          <w:trHeight w:val="593"/>
        </w:trPr>
        <w:tc>
          <w:tcPr>
            <w:tcW w:w="0" w:type="auto"/>
            <w:shd w:val="clear" w:color="auto" w:fill="auto"/>
          </w:tcPr>
          <w:p w14:paraId="004C8F83" w14:textId="77777777" w:rsidR="0047520E" w:rsidRPr="00834841" w:rsidRDefault="0047520E" w:rsidP="003B7138">
            <w:pPr>
              <w:autoSpaceDE w:val="0"/>
              <w:autoSpaceDN w:val="0"/>
              <w:adjustRightInd w:val="0"/>
              <w:spacing w:after="0" w:line="240" w:lineRule="auto"/>
              <w:jc w:val="center"/>
              <w:rPr>
                <w:rFonts w:ascii="Palatino Linotype" w:hAnsi="Palatino Linotype" w:cs="Arial"/>
                <w:color w:val="000000"/>
                <w:sz w:val="20"/>
                <w:szCs w:val="20"/>
              </w:rPr>
            </w:pPr>
            <w:r w:rsidRPr="00834841">
              <w:rPr>
                <w:rFonts w:ascii="Palatino Linotype" w:hAnsi="Palatino Linotype" w:cs="Arial"/>
                <w:color w:val="000000"/>
                <w:sz w:val="20"/>
                <w:szCs w:val="20"/>
              </w:rPr>
              <w:t>2</w:t>
            </w:r>
          </w:p>
        </w:tc>
        <w:tc>
          <w:tcPr>
            <w:tcW w:w="1701" w:type="dxa"/>
            <w:shd w:val="clear" w:color="auto" w:fill="auto"/>
          </w:tcPr>
          <w:p w14:paraId="142A4991"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March 10, 2015</w:t>
            </w:r>
          </w:p>
        </w:tc>
        <w:tc>
          <w:tcPr>
            <w:tcW w:w="1934" w:type="dxa"/>
            <w:shd w:val="clear" w:color="auto" w:fill="auto"/>
          </w:tcPr>
          <w:p w14:paraId="35550343"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WSC approval</w:t>
            </w:r>
          </w:p>
        </w:tc>
        <w:tc>
          <w:tcPr>
            <w:tcW w:w="5365" w:type="dxa"/>
            <w:shd w:val="clear" w:color="auto" w:fill="auto"/>
          </w:tcPr>
          <w:p w14:paraId="196B0368" w14:textId="77777777" w:rsidR="0047520E" w:rsidRPr="00834841" w:rsidRDefault="0047520E" w:rsidP="003B7138">
            <w:pPr>
              <w:autoSpaceDE w:val="0"/>
              <w:autoSpaceDN w:val="0"/>
              <w:adjustRightInd w:val="0"/>
              <w:spacing w:after="0" w:line="240" w:lineRule="auto"/>
              <w:rPr>
                <w:rFonts w:ascii="Palatino Linotype" w:hAnsi="Palatino Linotype" w:cs="Arial"/>
                <w:color w:val="000000"/>
                <w:sz w:val="20"/>
                <w:szCs w:val="20"/>
              </w:rPr>
            </w:pPr>
            <w:r w:rsidRPr="00834841">
              <w:rPr>
                <w:rFonts w:ascii="Palatino Linotype" w:hAnsi="Palatino Linotype" w:cs="Arial"/>
                <w:color w:val="000000"/>
                <w:sz w:val="20"/>
                <w:szCs w:val="20"/>
              </w:rPr>
              <w:t xml:space="preserve">Terms used on in MOD-001-WECC-0 were deleted from the glossary. The MOD was retired by the WSC pursuant Step 13 of the Reliability Standards Development Procedures. </w:t>
            </w:r>
          </w:p>
        </w:tc>
      </w:tr>
      <w:tr w:rsidR="0047520E" w:rsidRPr="00834841" w14:paraId="722A7820" w14:textId="77777777" w:rsidTr="00005571">
        <w:trPr>
          <w:cantSplit/>
          <w:trHeight w:val="593"/>
        </w:trPr>
        <w:tc>
          <w:tcPr>
            <w:tcW w:w="0" w:type="auto"/>
            <w:shd w:val="clear" w:color="auto" w:fill="auto"/>
          </w:tcPr>
          <w:p w14:paraId="5A475775" w14:textId="77777777" w:rsidR="0047520E" w:rsidRPr="00834841" w:rsidRDefault="0047520E"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sidRPr="00834841">
              <w:rPr>
                <w:rFonts w:ascii="Palatino Linotype" w:hAnsi="Palatino Linotype" w:cs="Arial"/>
                <w:color w:val="000000"/>
                <w:sz w:val="20"/>
                <w:szCs w:val="20"/>
              </w:rPr>
              <w:t>3</w:t>
            </w:r>
          </w:p>
        </w:tc>
        <w:tc>
          <w:tcPr>
            <w:tcW w:w="1701" w:type="dxa"/>
            <w:shd w:val="clear" w:color="auto" w:fill="auto"/>
          </w:tcPr>
          <w:p w14:paraId="7DF31039"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March 8, 2016</w:t>
            </w:r>
          </w:p>
        </w:tc>
        <w:tc>
          <w:tcPr>
            <w:tcW w:w="1934" w:type="dxa"/>
            <w:shd w:val="clear" w:color="auto" w:fill="auto"/>
          </w:tcPr>
          <w:p w14:paraId="70C24A0C"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WECC Standards Committee Approved</w:t>
            </w:r>
          </w:p>
        </w:tc>
        <w:tc>
          <w:tcPr>
            <w:tcW w:w="5365" w:type="dxa"/>
            <w:shd w:val="clear" w:color="auto" w:fill="auto"/>
          </w:tcPr>
          <w:p w14:paraId="689FAB90" w14:textId="0C499813"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Removed “Performance Level Adjustment Record</w:t>
            </w:r>
            <w:r w:rsidR="00D80A47" w:rsidRPr="00834841">
              <w:rPr>
                <w:rFonts w:ascii="Palatino Linotype" w:hAnsi="Palatino Linotype" w:cs="Arial"/>
                <w:color w:val="000000"/>
                <w:sz w:val="20"/>
                <w:szCs w:val="20"/>
              </w:rPr>
              <w:t>;”</w:t>
            </w:r>
            <w:r w:rsidRPr="00834841">
              <w:rPr>
                <w:rFonts w:ascii="Palatino Linotype" w:hAnsi="Palatino Linotype" w:cs="Arial"/>
                <w:color w:val="000000"/>
                <w:sz w:val="20"/>
                <w:szCs w:val="20"/>
              </w:rPr>
              <w:t xml:space="preserve"> TPL-001-WECC-CRT-2, WR1 retired on October 8, 2013. </w:t>
            </w:r>
          </w:p>
          <w:p w14:paraId="5085A13B"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3187402F" w14:textId="77777777" w:rsidR="0047520E" w:rsidRPr="00834841" w:rsidRDefault="0047520E" w:rsidP="003B7138">
            <w:pPr>
              <w:autoSpaceDE w:val="0"/>
              <w:autoSpaceDN w:val="0"/>
              <w:adjustRightInd w:val="0"/>
              <w:spacing w:after="0" w:line="240" w:lineRule="auto"/>
              <w:contextualSpacing/>
              <w:rPr>
                <w:rFonts w:ascii="Palatino Linotype" w:hAnsi="Palatino Linotype"/>
                <w:spacing w:val="-1"/>
                <w:sz w:val="20"/>
                <w:szCs w:val="20"/>
              </w:rPr>
            </w:pPr>
            <w:r w:rsidRPr="00834841">
              <w:rPr>
                <w:rFonts w:ascii="Palatino Linotype" w:hAnsi="Palatino Linotype" w:cs="Arial"/>
                <w:color w:val="000000"/>
                <w:sz w:val="20"/>
                <w:szCs w:val="20"/>
              </w:rPr>
              <w:t>“</w:t>
            </w:r>
            <w:r w:rsidRPr="00834841">
              <w:rPr>
                <w:rFonts w:ascii="Palatino Linotype" w:hAnsi="Palatino Linotype"/>
                <w:spacing w:val="-1"/>
                <w:sz w:val="20"/>
                <w:szCs w:val="20"/>
              </w:rPr>
              <w:t>WECC</w:t>
            </w:r>
            <w:r w:rsidRPr="00834841">
              <w:rPr>
                <w:rFonts w:ascii="Palatino Linotype" w:hAnsi="Palatino Linotype"/>
                <w:spacing w:val="-18"/>
                <w:sz w:val="20"/>
                <w:szCs w:val="20"/>
              </w:rPr>
              <w:t xml:space="preserve"> </w:t>
            </w:r>
            <w:r w:rsidRPr="00834841">
              <w:rPr>
                <w:rFonts w:ascii="Palatino Linotype" w:hAnsi="Palatino Linotype"/>
                <w:spacing w:val="-1"/>
                <w:sz w:val="20"/>
                <w:szCs w:val="20"/>
              </w:rPr>
              <w:t>Remedial</w:t>
            </w:r>
            <w:r w:rsidRPr="00834841">
              <w:rPr>
                <w:rFonts w:ascii="Palatino Linotype" w:hAnsi="Palatino Linotype"/>
                <w:spacing w:val="25"/>
                <w:w w:val="99"/>
                <w:sz w:val="20"/>
                <w:szCs w:val="20"/>
              </w:rPr>
              <w:t xml:space="preserve"> </w:t>
            </w:r>
            <w:r w:rsidRPr="00834841">
              <w:rPr>
                <w:rFonts w:ascii="Palatino Linotype" w:hAnsi="Palatino Linotype"/>
                <w:spacing w:val="-1"/>
                <w:sz w:val="20"/>
                <w:szCs w:val="20"/>
              </w:rPr>
              <w:t>Action</w:t>
            </w:r>
            <w:r w:rsidRPr="00834841">
              <w:rPr>
                <w:rFonts w:ascii="Palatino Linotype" w:hAnsi="Palatino Linotype"/>
                <w:spacing w:val="-14"/>
                <w:sz w:val="20"/>
                <w:szCs w:val="20"/>
              </w:rPr>
              <w:t xml:space="preserve"> </w:t>
            </w:r>
            <w:r w:rsidRPr="00834841">
              <w:rPr>
                <w:rFonts w:ascii="Palatino Linotype" w:hAnsi="Palatino Linotype"/>
                <w:spacing w:val="-1"/>
                <w:sz w:val="20"/>
                <w:szCs w:val="20"/>
              </w:rPr>
              <w:t>Scheme</w:t>
            </w:r>
            <w:r w:rsidRPr="00834841">
              <w:rPr>
                <w:rFonts w:ascii="Palatino Linotype" w:hAnsi="Palatino Linotype"/>
                <w:spacing w:val="25"/>
                <w:w w:val="99"/>
                <w:sz w:val="20"/>
                <w:szCs w:val="20"/>
              </w:rPr>
              <w:t xml:space="preserve"> </w:t>
            </w:r>
            <w:r w:rsidRPr="00834841">
              <w:rPr>
                <w:rFonts w:ascii="Palatino Linotype" w:hAnsi="Palatino Linotype"/>
                <w:spacing w:val="-1"/>
                <w:sz w:val="20"/>
                <w:szCs w:val="20"/>
              </w:rPr>
              <w:t>Database” and “Wide Area Protection Scheme (WAPS)” reference for EOP-007-WECC-CRT-1.1 (retired July 1, 2013) updated to PRC-(012 through 014)-WECC-CRT-2.1. Associated PRC-(012 through 014)-WECC-CRT-1 updated to 2.1.</w:t>
            </w:r>
          </w:p>
          <w:p w14:paraId="2CB60632" w14:textId="77777777" w:rsidR="0047520E" w:rsidRPr="00834841" w:rsidRDefault="0047520E" w:rsidP="003B7138">
            <w:pPr>
              <w:autoSpaceDE w:val="0"/>
              <w:autoSpaceDN w:val="0"/>
              <w:adjustRightInd w:val="0"/>
              <w:spacing w:after="0" w:line="240" w:lineRule="auto"/>
              <w:contextualSpacing/>
              <w:rPr>
                <w:rFonts w:ascii="Palatino Linotype" w:hAnsi="Palatino Linotype"/>
                <w:spacing w:val="-1"/>
                <w:sz w:val="20"/>
                <w:szCs w:val="20"/>
              </w:rPr>
            </w:pPr>
          </w:p>
          <w:p w14:paraId="5E186BB4" w14:textId="77777777" w:rsidR="0047520E" w:rsidRPr="00834841" w:rsidRDefault="0047520E" w:rsidP="003B7138">
            <w:pPr>
              <w:autoSpaceDE w:val="0"/>
              <w:autoSpaceDN w:val="0"/>
              <w:adjustRightInd w:val="0"/>
              <w:spacing w:after="0" w:line="240" w:lineRule="auto"/>
              <w:contextualSpacing/>
              <w:rPr>
                <w:rFonts w:ascii="Palatino Linotype" w:hAnsi="Palatino Linotype"/>
                <w:spacing w:val="-1"/>
                <w:sz w:val="20"/>
                <w:szCs w:val="20"/>
              </w:rPr>
            </w:pPr>
            <w:r w:rsidRPr="00834841">
              <w:rPr>
                <w:rFonts w:ascii="Palatino Linotype" w:hAnsi="Palatino Linotype"/>
                <w:spacing w:val="-1"/>
                <w:sz w:val="20"/>
                <w:szCs w:val="20"/>
              </w:rPr>
              <w:t xml:space="preserve">“WOULD” in WAPS changed to lower case. “NOT” in LAPS changed to lower case. </w:t>
            </w:r>
          </w:p>
          <w:p w14:paraId="69E8B36D" w14:textId="77777777" w:rsidR="0047520E" w:rsidRPr="00834841" w:rsidRDefault="0047520E" w:rsidP="003B7138">
            <w:pPr>
              <w:autoSpaceDE w:val="0"/>
              <w:autoSpaceDN w:val="0"/>
              <w:adjustRightInd w:val="0"/>
              <w:spacing w:after="0" w:line="240" w:lineRule="auto"/>
              <w:contextualSpacing/>
              <w:rPr>
                <w:rFonts w:ascii="Palatino Linotype" w:hAnsi="Palatino Linotype"/>
                <w:spacing w:val="-1"/>
                <w:sz w:val="20"/>
                <w:szCs w:val="20"/>
              </w:rPr>
            </w:pPr>
            <w:r w:rsidRPr="00834841">
              <w:rPr>
                <w:rFonts w:ascii="Palatino Linotype" w:hAnsi="Palatino Linotype"/>
                <w:spacing w:val="-1"/>
                <w:sz w:val="20"/>
                <w:szCs w:val="20"/>
              </w:rPr>
              <w:t xml:space="preserve"> </w:t>
            </w:r>
          </w:p>
          <w:p w14:paraId="1F38510A"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INT-020-WECC-CRT-1.1 updated to 1.2.</w:t>
            </w:r>
          </w:p>
          <w:p w14:paraId="4E89AA73" w14:textId="77777777" w:rsidR="0047520E" w:rsidRPr="00834841" w:rsidRDefault="0047520E" w:rsidP="003B7138">
            <w:pPr>
              <w:autoSpaceDE w:val="0"/>
              <w:autoSpaceDN w:val="0"/>
              <w:adjustRightInd w:val="0"/>
              <w:spacing w:after="0" w:line="240" w:lineRule="auto"/>
              <w:contextualSpacing/>
              <w:rPr>
                <w:rFonts w:ascii="Palatino Linotype" w:hAnsi="Palatino Linotype"/>
                <w:spacing w:val="-1"/>
                <w:sz w:val="20"/>
                <w:szCs w:val="20"/>
              </w:rPr>
            </w:pPr>
            <w:r w:rsidRPr="00834841">
              <w:rPr>
                <w:rFonts w:ascii="Palatino Linotype" w:hAnsi="Palatino Linotype"/>
                <w:spacing w:val="-1"/>
                <w:sz w:val="20"/>
                <w:szCs w:val="20"/>
              </w:rPr>
              <w:t>TPL-001-WECC-CRT-2.1 updated to 2.2.</w:t>
            </w:r>
          </w:p>
          <w:p w14:paraId="125CD200" w14:textId="77777777" w:rsidR="0047520E" w:rsidRPr="00834841" w:rsidRDefault="0047520E" w:rsidP="003B7138">
            <w:pPr>
              <w:pStyle w:val="TableParagraph"/>
              <w:contextualSpacing/>
              <w:rPr>
                <w:rFonts w:ascii="Palatino Linotype" w:hAnsi="Palatino Linotype"/>
                <w:sz w:val="20"/>
                <w:szCs w:val="20"/>
              </w:rPr>
            </w:pPr>
            <w:r w:rsidRPr="00834841">
              <w:rPr>
                <w:rFonts w:ascii="Palatino Linotype" w:hAnsi="Palatino Linotype"/>
                <w:sz w:val="20"/>
                <w:szCs w:val="20"/>
              </w:rPr>
              <w:t xml:space="preserve">INT-018-WECC-CRT-1 updated to 1.2. </w:t>
            </w:r>
          </w:p>
          <w:p w14:paraId="0DF103C6" w14:textId="77777777" w:rsidR="0047520E" w:rsidRPr="00834841" w:rsidRDefault="0047520E" w:rsidP="003B7138">
            <w:pPr>
              <w:pStyle w:val="TableParagraph"/>
              <w:contextualSpacing/>
              <w:rPr>
                <w:rFonts w:ascii="Palatino Linotype" w:hAnsi="Palatino Linotype" w:cs="Arial"/>
                <w:color w:val="000000"/>
                <w:sz w:val="20"/>
                <w:szCs w:val="20"/>
              </w:rPr>
            </w:pPr>
            <w:r w:rsidRPr="00834841">
              <w:rPr>
                <w:rFonts w:ascii="Palatino Linotype" w:hAnsi="Palatino Linotype"/>
                <w:spacing w:val="-1"/>
                <w:sz w:val="20"/>
                <w:szCs w:val="20"/>
              </w:rPr>
              <w:t>PRC-006-WECC-CRT-1 updated to 1.1.</w:t>
            </w:r>
          </w:p>
        </w:tc>
      </w:tr>
      <w:tr w:rsidR="0047520E" w:rsidRPr="00834841" w14:paraId="24CC4657" w14:textId="77777777" w:rsidTr="00005571">
        <w:trPr>
          <w:cantSplit/>
          <w:trHeight w:val="593"/>
        </w:trPr>
        <w:tc>
          <w:tcPr>
            <w:tcW w:w="0" w:type="auto"/>
            <w:shd w:val="clear" w:color="auto" w:fill="auto"/>
          </w:tcPr>
          <w:p w14:paraId="624F627A" w14:textId="77777777" w:rsidR="0047520E" w:rsidRPr="00834841" w:rsidRDefault="0047520E"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sidRPr="00834841">
              <w:rPr>
                <w:rFonts w:ascii="Palatino Linotype" w:hAnsi="Palatino Linotype" w:cs="Arial"/>
                <w:color w:val="000000"/>
                <w:sz w:val="20"/>
                <w:szCs w:val="20"/>
              </w:rPr>
              <w:t>4</w:t>
            </w:r>
          </w:p>
        </w:tc>
        <w:tc>
          <w:tcPr>
            <w:tcW w:w="1701" w:type="dxa"/>
            <w:shd w:val="clear" w:color="auto" w:fill="auto"/>
          </w:tcPr>
          <w:p w14:paraId="1A81D018"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December 6, 2016</w:t>
            </w:r>
          </w:p>
        </w:tc>
        <w:tc>
          <w:tcPr>
            <w:tcW w:w="1934" w:type="dxa"/>
            <w:shd w:val="clear" w:color="auto" w:fill="auto"/>
          </w:tcPr>
          <w:p w14:paraId="0118E02B"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WECC Standards Committee Approved</w:t>
            </w:r>
          </w:p>
        </w:tc>
        <w:tc>
          <w:tcPr>
            <w:tcW w:w="5365" w:type="dxa"/>
            <w:shd w:val="clear" w:color="auto" w:fill="auto"/>
          </w:tcPr>
          <w:p w14:paraId="325C94FC"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 xml:space="preserve">Adjacent Transmission Circuits, used in TPL-001-WECC-CRT-2.2 was removed as it is no longer contained in TPL-001-WECC-CRT-3, as approved by the WECC Board of Directors. September 21, 2016. All footnotes were updated. </w:t>
            </w:r>
          </w:p>
        </w:tc>
      </w:tr>
      <w:tr w:rsidR="0047520E" w:rsidRPr="00834841" w14:paraId="047A66A2" w14:textId="77777777" w:rsidTr="00005571">
        <w:trPr>
          <w:cantSplit/>
          <w:trHeight w:val="593"/>
        </w:trPr>
        <w:tc>
          <w:tcPr>
            <w:tcW w:w="0" w:type="auto"/>
            <w:shd w:val="clear" w:color="auto" w:fill="auto"/>
          </w:tcPr>
          <w:p w14:paraId="4BB33ED3" w14:textId="77777777" w:rsidR="0047520E" w:rsidRPr="00834841" w:rsidRDefault="0047520E"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sidRPr="00834841">
              <w:rPr>
                <w:rFonts w:ascii="Palatino Linotype" w:hAnsi="Palatino Linotype" w:cs="Arial"/>
                <w:color w:val="000000"/>
                <w:sz w:val="20"/>
                <w:szCs w:val="20"/>
              </w:rPr>
              <w:t>5</w:t>
            </w:r>
          </w:p>
        </w:tc>
        <w:tc>
          <w:tcPr>
            <w:tcW w:w="1701" w:type="dxa"/>
            <w:shd w:val="clear" w:color="auto" w:fill="auto"/>
          </w:tcPr>
          <w:p w14:paraId="367E0439"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March 8, 2017</w:t>
            </w:r>
          </w:p>
        </w:tc>
        <w:tc>
          <w:tcPr>
            <w:tcW w:w="1934" w:type="dxa"/>
            <w:shd w:val="clear" w:color="auto" w:fill="auto"/>
          </w:tcPr>
          <w:p w14:paraId="1B74DF84"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WECC Standards Committee Approved</w:t>
            </w:r>
          </w:p>
        </w:tc>
        <w:tc>
          <w:tcPr>
            <w:tcW w:w="5365" w:type="dxa"/>
            <w:shd w:val="clear" w:color="auto" w:fill="auto"/>
          </w:tcPr>
          <w:p w14:paraId="6DAF9880"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 xml:space="preserve">Footnotes to reflect WSC approval of projects that will retire terms once the WECC Board of Directors approves those projects. Project approval is targeted for June 2017. </w:t>
            </w:r>
          </w:p>
        </w:tc>
      </w:tr>
      <w:tr w:rsidR="0047520E" w:rsidRPr="00834841" w14:paraId="28BB0E86" w14:textId="77777777" w:rsidTr="00005571">
        <w:trPr>
          <w:cantSplit/>
          <w:trHeight w:val="593"/>
        </w:trPr>
        <w:tc>
          <w:tcPr>
            <w:tcW w:w="0" w:type="auto"/>
            <w:shd w:val="clear" w:color="auto" w:fill="auto"/>
          </w:tcPr>
          <w:p w14:paraId="66BFF957" w14:textId="77777777" w:rsidR="0047520E" w:rsidRPr="00834841" w:rsidRDefault="0047520E"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sidRPr="00834841">
              <w:rPr>
                <w:rFonts w:ascii="Palatino Linotype" w:hAnsi="Palatino Linotype" w:cs="Arial"/>
                <w:color w:val="000000"/>
                <w:sz w:val="20"/>
                <w:szCs w:val="20"/>
              </w:rPr>
              <w:t>6</w:t>
            </w:r>
          </w:p>
        </w:tc>
        <w:tc>
          <w:tcPr>
            <w:tcW w:w="1701" w:type="dxa"/>
            <w:shd w:val="clear" w:color="auto" w:fill="auto"/>
          </w:tcPr>
          <w:p w14:paraId="6DCD6A0D"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June 21, 2017</w:t>
            </w:r>
          </w:p>
        </w:tc>
        <w:tc>
          <w:tcPr>
            <w:tcW w:w="1934" w:type="dxa"/>
            <w:shd w:val="clear" w:color="auto" w:fill="auto"/>
          </w:tcPr>
          <w:p w14:paraId="7C6A60B1"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WECC Board of Directors Approved</w:t>
            </w:r>
          </w:p>
          <w:p w14:paraId="180C5CC4"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2D4F856D"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INT-020-WECC-CRT-2</w:t>
            </w:r>
          </w:p>
          <w:p w14:paraId="5EBE5F3E"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(June 21, 2017)</w:t>
            </w:r>
          </w:p>
          <w:p w14:paraId="4858B3A7"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0DF0D740"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PRC-012-WECC-CRT-1 (June 21, 2017)</w:t>
            </w:r>
          </w:p>
          <w:p w14:paraId="6B7E73F6"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6D3389AB"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6D355523"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32100ED6"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PRC-006-WECC-CRT-1.1 (March 9, 2016)</w:t>
            </w:r>
          </w:p>
        </w:tc>
        <w:tc>
          <w:tcPr>
            <w:tcW w:w="5365" w:type="dxa"/>
            <w:shd w:val="clear" w:color="auto" w:fill="auto"/>
          </w:tcPr>
          <w:p w14:paraId="3CAFAC30" w14:textId="5BF32414"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Interchange Authority (IA) Emergency and Interchange Authority Software Provider used in INT-020-WECC-CRT-2 (replaced by INT-020-WECC-CRT-3) were deleted as of July 1, 2017</w:t>
            </w:r>
            <w:r w:rsidR="00873571">
              <w:rPr>
                <w:rFonts w:ascii="Palatino Linotype" w:hAnsi="Palatino Linotype" w:cs="Arial"/>
                <w:color w:val="000000"/>
                <w:sz w:val="20"/>
                <w:szCs w:val="20"/>
              </w:rPr>
              <w:t>,</w:t>
            </w:r>
            <w:r w:rsidRPr="00834841">
              <w:rPr>
                <w:rFonts w:ascii="Palatino Linotype" w:hAnsi="Palatino Linotype" w:cs="Arial"/>
                <w:color w:val="000000"/>
                <w:sz w:val="20"/>
                <w:szCs w:val="20"/>
              </w:rPr>
              <w:t xml:space="preserve"> as they are no longer used in a WECC CRT. </w:t>
            </w:r>
          </w:p>
          <w:p w14:paraId="3A6D6EDA"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13426AA1"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Local Area Protection Scheme (LAPS), Safety Net, WECC Remedial Action Scheme Database, and Wide Area Protection Scheme (WAPS) used in PRC-012 through 014- WECC-CRT-2.1 (replaced by PRC-012-WECC-CRT-1) were deleted as of June 21, 2017</w:t>
            </w:r>
            <w:r w:rsidR="00873571">
              <w:rPr>
                <w:rFonts w:ascii="Palatino Linotype" w:hAnsi="Palatino Linotype" w:cs="Arial"/>
                <w:color w:val="000000"/>
                <w:sz w:val="20"/>
                <w:szCs w:val="20"/>
              </w:rPr>
              <w:t>,</w:t>
            </w:r>
            <w:r w:rsidRPr="00834841">
              <w:rPr>
                <w:rFonts w:ascii="Palatino Linotype" w:hAnsi="Palatino Linotype" w:cs="Arial"/>
                <w:color w:val="000000"/>
                <w:sz w:val="20"/>
                <w:szCs w:val="20"/>
              </w:rPr>
              <w:t xml:space="preserve"> as they are no longer used in a WECC CRT. </w:t>
            </w:r>
          </w:p>
          <w:p w14:paraId="76015643"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2C5735E3"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WECC Underfrequency Load Shedding Review Group (Review Group), Western Electricity Coordinating Council Off- Nominal Frequency Load Shedding Plan (Coordinated Plan) as used in PRC-006-WECC-CRT-2 (replaced by PRC-006-WECC-CRT-3) were deleted as of April 1, 2017</w:t>
            </w:r>
            <w:r w:rsidR="00873571">
              <w:rPr>
                <w:rFonts w:ascii="Palatino Linotype" w:hAnsi="Palatino Linotype" w:cs="Arial"/>
                <w:color w:val="000000"/>
                <w:sz w:val="20"/>
                <w:szCs w:val="20"/>
              </w:rPr>
              <w:t>,</w:t>
            </w:r>
            <w:r w:rsidRPr="00834841">
              <w:rPr>
                <w:rFonts w:ascii="Palatino Linotype" w:hAnsi="Palatino Linotype" w:cs="Arial"/>
                <w:color w:val="000000"/>
                <w:sz w:val="20"/>
                <w:szCs w:val="20"/>
              </w:rPr>
              <w:t xml:space="preserve"> as they are no longer used in a WECC CRT. </w:t>
            </w:r>
          </w:p>
        </w:tc>
      </w:tr>
      <w:tr w:rsidR="0047520E" w:rsidRPr="00834841" w14:paraId="7C9A0344" w14:textId="77777777" w:rsidTr="00005571">
        <w:trPr>
          <w:cantSplit/>
          <w:trHeight w:val="593"/>
        </w:trPr>
        <w:tc>
          <w:tcPr>
            <w:tcW w:w="0" w:type="auto"/>
            <w:shd w:val="clear" w:color="auto" w:fill="auto"/>
          </w:tcPr>
          <w:p w14:paraId="2B28E1FA" w14:textId="77777777" w:rsidR="0047520E" w:rsidRPr="00834841" w:rsidRDefault="0047520E"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sidRPr="00834841">
              <w:rPr>
                <w:rFonts w:ascii="Palatino Linotype" w:hAnsi="Palatino Linotype" w:cs="Arial"/>
                <w:color w:val="000000"/>
                <w:sz w:val="20"/>
                <w:szCs w:val="20"/>
              </w:rPr>
              <w:t>7</w:t>
            </w:r>
          </w:p>
        </w:tc>
        <w:tc>
          <w:tcPr>
            <w:tcW w:w="1701" w:type="dxa"/>
            <w:shd w:val="clear" w:color="auto" w:fill="auto"/>
          </w:tcPr>
          <w:p w14:paraId="5A720F9B"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June 19, 2018</w:t>
            </w:r>
          </w:p>
        </w:tc>
        <w:tc>
          <w:tcPr>
            <w:tcW w:w="1934" w:type="dxa"/>
            <w:shd w:val="clear" w:color="auto" w:fill="auto"/>
          </w:tcPr>
          <w:p w14:paraId="64CD9AB4" w14:textId="22BD65C0"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WSC approved annual update</w:t>
            </w:r>
          </w:p>
        </w:tc>
        <w:tc>
          <w:tcPr>
            <w:tcW w:w="5365" w:type="dxa"/>
            <w:shd w:val="clear" w:color="auto" w:fill="auto"/>
          </w:tcPr>
          <w:p w14:paraId="3EB4CCB9" w14:textId="7E5BC978"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bookmarkStart w:id="13" w:name="_Hlk508619956"/>
            <w:r w:rsidRPr="00834841">
              <w:rPr>
                <w:rFonts w:ascii="Palatino Linotype" w:hAnsi="Palatino Linotype" w:cs="Arial"/>
                <w:color w:val="000000"/>
                <w:sz w:val="20"/>
                <w:szCs w:val="20"/>
              </w:rPr>
              <w:t>No substantive changes were made. The column titled “WECC Board of Approval” was renamed “Approval Date</w:t>
            </w:r>
            <w:r w:rsidR="00D80A47" w:rsidRPr="00834841">
              <w:rPr>
                <w:rFonts w:ascii="Palatino Linotype" w:hAnsi="Palatino Linotype" w:cs="Arial"/>
                <w:color w:val="000000"/>
                <w:sz w:val="20"/>
                <w:szCs w:val="20"/>
              </w:rPr>
              <w:t>.”</w:t>
            </w:r>
          </w:p>
          <w:p w14:paraId="391EAD2C"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68E65443"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 xml:space="preserve">Dates in the “Approval Date” column were updated. </w:t>
            </w:r>
            <w:bookmarkEnd w:id="13"/>
          </w:p>
          <w:p w14:paraId="673B8207"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p>
          <w:p w14:paraId="70F831C3" w14:textId="77777777" w:rsidR="0047520E" w:rsidRPr="00834841" w:rsidRDefault="0047520E"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 xml:space="preserve">Non-substantive clarification was made in the Overview to address treatment of defined terms by WECC, NERC, and NAESB. </w:t>
            </w:r>
          </w:p>
        </w:tc>
      </w:tr>
      <w:tr w:rsidR="00887CE8" w:rsidRPr="00834841" w14:paraId="54A3F4AA" w14:textId="77777777" w:rsidTr="00005571">
        <w:trPr>
          <w:cantSplit/>
          <w:trHeight w:val="593"/>
        </w:trPr>
        <w:tc>
          <w:tcPr>
            <w:tcW w:w="0" w:type="auto"/>
            <w:shd w:val="clear" w:color="auto" w:fill="auto"/>
          </w:tcPr>
          <w:p w14:paraId="3B7C4A9A" w14:textId="77777777" w:rsidR="00887CE8" w:rsidRPr="00834841" w:rsidRDefault="00887CE8"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sidRPr="00834841">
              <w:rPr>
                <w:rFonts w:ascii="Palatino Linotype" w:hAnsi="Palatino Linotype" w:cs="Arial"/>
                <w:color w:val="000000"/>
                <w:sz w:val="20"/>
                <w:szCs w:val="20"/>
              </w:rPr>
              <w:t>8</w:t>
            </w:r>
          </w:p>
        </w:tc>
        <w:tc>
          <w:tcPr>
            <w:tcW w:w="1701" w:type="dxa"/>
            <w:shd w:val="clear" w:color="auto" w:fill="auto"/>
          </w:tcPr>
          <w:p w14:paraId="2A46DC60" w14:textId="77777777" w:rsidR="00887CE8" w:rsidRPr="00834841" w:rsidRDefault="00887CE8"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March 21, 2019</w:t>
            </w:r>
          </w:p>
        </w:tc>
        <w:tc>
          <w:tcPr>
            <w:tcW w:w="1934" w:type="dxa"/>
            <w:shd w:val="clear" w:color="auto" w:fill="auto"/>
          </w:tcPr>
          <w:p w14:paraId="7B810DF6" w14:textId="77777777" w:rsidR="00887CE8" w:rsidRPr="00834841" w:rsidRDefault="00887CE8"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Updated template</w:t>
            </w:r>
          </w:p>
        </w:tc>
        <w:tc>
          <w:tcPr>
            <w:tcW w:w="5365" w:type="dxa"/>
            <w:shd w:val="clear" w:color="auto" w:fill="auto"/>
          </w:tcPr>
          <w:p w14:paraId="21019453" w14:textId="77777777" w:rsidR="00887CE8" w:rsidRPr="00834841" w:rsidRDefault="00887CE8"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 xml:space="preserve">No further changes. </w:t>
            </w:r>
          </w:p>
        </w:tc>
      </w:tr>
      <w:tr w:rsidR="00834841" w:rsidRPr="00834841" w14:paraId="7E04653B" w14:textId="77777777" w:rsidTr="00005571">
        <w:trPr>
          <w:cantSplit/>
          <w:trHeight w:val="593"/>
        </w:trPr>
        <w:tc>
          <w:tcPr>
            <w:tcW w:w="0" w:type="auto"/>
            <w:shd w:val="clear" w:color="auto" w:fill="auto"/>
          </w:tcPr>
          <w:p w14:paraId="30EE06A9" w14:textId="77777777" w:rsidR="00834841" w:rsidRPr="00834841" w:rsidRDefault="00834841"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sidRPr="00834841">
              <w:rPr>
                <w:rFonts w:ascii="Palatino Linotype" w:hAnsi="Palatino Linotype" w:cs="Arial"/>
                <w:color w:val="000000"/>
                <w:sz w:val="20"/>
                <w:szCs w:val="20"/>
              </w:rPr>
              <w:t>9</w:t>
            </w:r>
          </w:p>
        </w:tc>
        <w:tc>
          <w:tcPr>
            <w:tcW w:w="1701" w:type="dxa"/>
            <w:shd w:val="clear" w:color="auto" w:fill="auto"/>
          </w:tcPr>
          <w:p w14:paraId="36824043" w14:textId="77777777" w:rsidR="00834841" w:rsidRPr="00834841" w:rsidRDefault="00834841"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December 3, 2019</w:t>
            </w:r>
          </w:p>
        </w:tc>
        <w:tc>
          <w:tcPr>
            <w:tcW w:w="1934" w:type="dxa"/>
            <w:shd w:val="clear" w:color="auto" w:fill="auto"/>
          </w:tcPr>
          <w:p w14:paraId="3DE80D07" w14:textId="488167D4" w:rsidR="00834841" w:rsidRPr="00834841" w:rsidRDefault="00834841" w:rsidP="003B7138">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color w:val="000000"/>
                <w:sz w:val="20"/>
                <w:szCs w:val="20"/>
              </w:rPr>
              <w:t xml:space="preserve">Annual Review </w:t>
            </w:r>
          </w:p>
        </w:tc>
        <w:tc>
          <w:tcPr>
            <w:tcW w:w="5365" w:type="dxa"/>
            <w:shd w:val="clear" w:color="auto" w:fill="auto"/>
          </w:tcPr>
          <w:p w14:paraId="0A489259" w14:textId="77777777" w:rsidR="00834841" w:rsidRPr="00834841" w:rsidRDefault="00834841" w:rsidP="00834841">
            <w:pPr>
              <w:autoSpaceDE w:val="0"/>
              <w:autoSpaceDN w:val="0"/>
              <w:adjustRightInd w:val="0"/>
              <w:spacing w:after="0" w:line="240" w:lineRule="auto"/>
              <w:contextualSpacing/>
              <w:rPr>
                <w:rFonts w:ascii="Palatino Linotype" w:hAnsi="Palatino Linotype" w:cs="Arial"/>
                <w:bCs/>
                <w:color w:val="000000"/>
                <w:sz w:val="20"/>
                <w:szCs w:val="20"/>
              </w:rPr>
            </w:pPr>
            <w:r w:rsidRPr="00834841">
              <w:rPr>
                <w:rFonts w:ascii="Palatino Linotype" w:hAnsi="Palatino Linotype" w:cs="Arial"/>
                <w:bCs/>
                <w:color w:val="000000"/>
                <w:sz w:val="20"/>
                <w:szCs w:val="20"/>
              </w:rPr>
              <w:t xml:space="preserve">No further changes.  </w:t>
            </w:r>
          </w:p>
          <w:p w14:paraId="1D231AC7" w14:textId="77777777" w:rsidR="00834841" w:rsidRPr="00834841" w:rsidRDefault="00834841" w:rsidP="00834841">
            <w:pPr>
              <w:autoSpaceDE w:val="0"/>
              <w:autoSpaceDN w:val="0"/>
              <w:adjustRightInd w:val="0"/>
              <w:spacing w:after="0" w:line="240" w:lineRule="auto"/>
              <w:contextualSpacing/>
              <w:rPr>
                <w:rFonts w:ascii="Palatino Linotype" w:hAnsi="Palatino Linotype" w:cs="Arial"/>
                <w:bCs/>
                <w:color w:val="000000"/>
                <w:sz w:val="20"/>
                <w:szCs w:val="20"/>
              </w:rPr>
            </w:pPr>
          </w:p>
          <w:p w14:paraId="66C711D7" w14:textId="77777777" w:rsidR="00834841" w:rsidRPr="00834841" w:rsidRDefault="00834841" w:rsidP="00834841">
            <w:pPr>
              <w:autoSpaceDE w:val="0"/>
              <w:autoSpaceDN w:val="0"/>
              <w:adjustRightInd w:val="0"/>
              <w:spacing w:after="0" w:line="240" w:lineRule="auto"/>
              <w:contextualSpacing/>
              <w:rPr>
                <w:rFonts w:ascii="Palatino Linotype" w:hAnsi="Palatino Linotype" w:cs="Arial"/>
                <w:color w:val="000000"/>
                <w:sz w:val="20"/>
                <w:szCs w:val="20"/>
              </w:rPr>
            </w:pPr>
            <w:r w:rsidRPr="00834841">
              <w:rPr>
                <w:rFonts w:ascii="Palatino Linotype" w:hAnsi="Palatino Linotype" w:cs="Arial"/>
                <w:bCs/>
                <w:color w:val="000000"/>
                <w:sz w:val="20"/>
                <w:szCs w:val="20"/>
              </w:rPr>
              <w:t xml:space="preserve">Annual review was completed as part of WECC-0137 </w:t>
            </w:r>
            <w:bookmarkStart w:id="14" w:name="_Hlk25355703"/>
            <w:bookmarkStart w:id="15" w:name="_Hlk25352254"/>
            <w:r w:rsidRPr="00834841">
              <w:rPr>
                <w:rFonts w:ascii="Palatino Linotype" w:hAnsi="Palatino Linotype" w:cs="Arial"/>
                <w:color w:val="000000"/>
                <w:sz w:val="20"/>
                <w:szCs w:val="20"/>
              </w:rPr>
              <w:t>INT-018-WECC-CRT-2, Western Interconnection (WI) e-Tag Energy Product Codes.</w:t>
            </w:r>
            <w:bookmarkEnd w:id="14"/>
            <w:bookmarkEnd w:id="15"/>
          </w:p>
        </w:tc>
      </w:tr>
      <w:tr w:rsidR="00E42839" w:rsidRPr="00834841" w14:paraId="676BD083" w14:textId="77777777" w:rsidTr="00005571">
        <w:trPr>
          <w:cantSplit/>
          <w:trHeight w:val="593"/>
        </w:trPr>
        <w:tc>
          <w:tcPr>
            <w:tcW w:w="0" w:type="auto"/>
            <w:shd w:val="clear" w:color="auto" w:fill="auto"/>
          </w:tcPr>
          <w:p w14:paraId="09AC7981" w14:textId="77777777" w:rsidR="00E42839" w:rsidRPr="00834841" w:rsidRDefault="00E42839"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Pr>
                <w:rFonts w:ascii="Palatino Linotype" w:hAnsi="Palatino Linotype" w:cs="Arial"/>
                <w:color w:val="000000"/>
                <w:sz w:val="20"/>
                <w:szCs w:val="20"/>
              </w:rPr>
              <w:t>10</w:t>
            </w:r>
          </w:p>
        </w:tc>
        <w:tc>
          <w:tcPr>
            <w:tcW w:w="1701" w:type="dxa"/>
            <w:shd w:val="clear" w:color="auto" w:fill="auto"/>
          </w:tcPr>
          <w:p w14:paraId="38BE0116" w14:textId="77777777" w:rsidR="00E42839" w:rsidRPr="00834841" w:rsidRDefault="00920EC9" w:rsidP="003B7138">
            <w:pPr>
              <w:autoSpaceDE w:val="0"/>
              <w:autoSpaceDN w:val="0"/>
              <w:adjustRightInd w:val="0"/>
              <w:spacing w:after="0" w:line="240" w:lineRule="auto"/>
              <w:contextualSpacing/>
              <w:rPr>
                <w:rFonts w:ascii="Palatino Linotype" w:hAnsi="Palatino Linotype" w:cs="Arial"/>
                <w:color w:val="000000"/>
                <w:sz w:val="20"/>
                <w:szCs w:val="20"/>
              </w:rPr>
            </w:pPr>
            <w:r>
              <w:rPr>
                <w:rFonts w:ascii="Palatino Linotype" w:hAnsi="Palatino Linotype" w:cs="Arial"/>
                <w:color w:val="000000"/>
                <w:sz w:val="20"/>
                <w:szCs w:val="20"/>
              </w:rPr>
              <w:t>December 8, 2020</w:t>
            </w:r>
          </w:p>
        </w:tc>
        <w:tc>
          <w:tcPr>
            <w:tcW w:w="1934" w:type="dxa"/>
            <w:shd w:val="clear" w:color="auto" w:fill="auto"/>
          </w:tcPr>
          <w:p w14:paraId="6C3C7DCF" w14:textId="77777777" w:rsidR="00E42839" w:rsidRPr="00834841" w:rsidRDefault="00920EC9" w:rsidP="003B7138">
            <w:pPr>
              <w:autoSpaceDE w:val="0"/>
              <w:autoSpaceDN w:val="0"/>
              <w:adjustRightInd w:val="0"/>
              <w:spacing w:after="0" w:line="240" w:lineRule="auto"/>
              <w:contextualSpacing/>
              <w:rPr>
                <w:rFonts w:ascii="Palatino Linotype" w:hAnsi="Palatino Linotype" w:cs="Arial"/>
                <w:color w:val="000000"/>
                <w:sz w:val="20"/>
                <w:szCs w:val="20"/>
              </w:rPr>
            </w:pPr>
            <w:r>
              <w:rPr>
                <w:rFonts w:ascii="Palatino Linotype" w:hAnsi="Palatino Linotype" w:cs="Arial"/>
                <w:color w:val="000000"/>
                <w:sz w:val="20"/>
                <w:szCs w:val="20"/>
              </w:rPr>
              <w:t>Annual Review</w:t>
            </w:r>
          </w:p>
        </w:tc>
        <w:tc>
          <w:tcPr>
            <w:tcW w:w="5365" w:type="dxa"/>
            <w:shd w:val="clear" w:color="auto" w:fill="auto"/>
          </w:tcPr>
          <w:p w14:paraId="67B35FB7" w14:textId="621569DD" w:rsidR="00E42839" w:rsidRPr="00834841" w:rsidRDefault="001C13DB" w:rsidP="00834841">
            <w:pPr>
              <w:autoSpaceDE w:val="0"/>
              <w:autoSpaceDN w:val="0"/>
              <w:adjustRightInd w:val="0"/>
              <w:spacing w:after="0" w:line="240" w:lineRule="auto"/>
              <w:contextualSpacing/>
              <w:rPr>
                <w:rFonts w:ascii="Palatino Linotype" w:hAnsi="Palatino Linotype" w:cs="Arial"/>
                <w:bCs/>
                <w:color w:val="000000"/>
                <w:sz w:val="20"/>
                <w:szCs w:val="20"/>
              </w:rPr>
            </w:pPr>
            <w:r>
              <w:rPr>
                <w:rFonts w:ascii="Palatino Linotype" w:hAnsi="Palatino Linotype" w:cs="Arial"/>
                <w:bCs/>
                <w:color w:val="000000"/>
                <w:sz w:val="20"/>
                <w:szCs w:val="20"/>
              </w:rPr>
              <w:t xml:space="preserve">Formatting changes only. </w:t>
            </w:r>
          </w:p>
        </w:tc>
      </w:tr>
      <w:tr w:rsidR="00FD5A5B" w:rsidRPr="00834841" w14:paraId="4962F5C4" w14:textId="77777777" w:rsidTr="00005571">
        <w:trPr>
          <w:cantSplit/>
          <w:trHeight w:val="593"/>
        </w:trPr>
        <w:tc>
          <w:tcPr>
            <w:tcW w:w="0" w:type="auto"/>
            <w:shd w:val="clear" w:color="auto" w:fill="auto"/>
          </w:tcPr>
          <w:p w14:paraId="6A183F44" w14:textId="387F71DF" w:rsidR="00FD5A5B" w:rsidRDefault="00FD5A5B"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Pr>
                <w:rFonts w:ascii="Palatino Linotype" w:hAnsi="Palatino Linotype" w:cs="Arial"/>
                <w:color w:val="000000"/>
                <w:sz w:val="20"/>
                <w:szCs w:val="20"/>
              </w:rPr>
              <w:t>11</w:t>
            </w:r>
          </w:p>
        </w:tc>
        <w:tc>
          <w:tcPr>
            <w:tcW w:w="1701" w:type="dxa"/>
            <w:shd w:val="clear" w:color="auto" w:fill="auto"/>
          </w:tcPr>
          <w:p w14:paraId="3F40049F" w14:textId="1F77921E" w:rsidR="00FD5A5B" w:rsidRDefault="00FD5A5B" w:rsidP="003B7138">
            <w:pPr>
              <w:autoSpaceDE w:val="0"/>
              <w:autoSpaceDN w:val="0"/>
              <w:adjustRightInd w:val="0"/>
              <w:spacing w:after="0" w:line="240" w:lineRule="auto"/>
              <w:contextualSpacing/>
              <w:rPr>
                <w:rFonts w:ascii="Palatino Linotype" w:hAnsi="Palatino Linotype" w:cs="Arial"/>
                <w:color w:val="000000"/>
                <w:sz w:val="20"/>
                <w:szCs w:val="20"/>
              </w:rPr>
            </w:pPr>
            <w:r>
              <w:rPr>
                <w:rFonts w:ascii="Palatino Linotype" w:hAnsi="Palatino Linotype" w:cs="Arial"/>
                <w:color w:val="000000"/>
                <w:sz w:val="20"/>
                <w:szCs w:val="20"/>
              </w:rPr>
              <w:t xml:space="preserve">December </w:t>
            </w:r>
            <w:r w:rsidR="001F563C">
              <w:rPr>
                <w:rFonts w:ascii="Palatino Linotype" w:hAnsi="Palatino Linotype" w:cs="Arial"/>
                <w:color w:val="000000"/>
                <w:sz w:val="20"/>
                <w:szCs w:val="20"/>
              </w:rPr>
              <w:t>8</w:t>
            </w:r>
            <w:r>
              <w:rPr>
                <w:rFonts w:ascii="Palatino Linotype" w:hAnsi="Palatino Linotype" w:cs="Arial"/>
                <w:color w:val="000000"/>
                <w:sz w:val="20"/>
                <w:szCs w:val="20"/>
              </w:rPr>
              <w:t>, 2021</w:t>
            </w:r>
          </w:p>
        </w:tc>
        <w:tc>
          <w:tcPr>
            <w:tcW w:w="1934" w:type="dxa"/>
            <w:shd w:val="clear" w:color="auto" w:fill="auto"/>
          </w:tcPr>
          <w:p w14:paraId="15FE1757" w14:textId="2B5187AA" w:rsidR="00FD5A5B" w:rsidRDefault="00FD5A5B" w:rsidP="003B7138">
            <w:pPr>
              <w:autoSpaceDE w:val="0"/>
              <w:autoSpaceDN w:val="0"/>
              <w:adjustRightInd w:val="0"/>
              <w:spacing w:after="0" w:line="240" w:lineRule="auto"/>
              <w:contextualSpacing/>
              <w:rPr>
                <w:rFonts w:ascii="Palatino Linotype" w:hAnsi="Palatino Linotype" w:cs="Arial"/>
                <w:color w:val="000000"/>
                <w:sz w:val="20"/>
                <w:szCs w:val="20"/>
              </w:rPr>
            </w:pPr>
            <w:r>
              <w:rPr>
                <w:rFonts w:ascii="Palatino Linotype" w:hAnsi="Palatino Linotype" w:cs="Arial"/>
                <w:color w:val="000000"/>
                <w:sz w:val="20"/>
                <w:szCs w:val="20"/>
              </w:rPr>
              <w:t>Annual Review</w:t>
            </w:r>
          </w:p>
        </w:tc>
        <w:tc>
          <w:tcPr>
            <w:tcW w:w="5365" w:type="dxa"/>
            <w:shd w:val="clear" w:color="auto" w:fill="auto"/>
          </w:tcPr>
          <w:p w14:paraId="4FD21456" w14:textId="0240C5CA" w:rsidR="00FD5A5B" w:rsidRDefault="00FD5A5B" w:rsidP="00834841">
            <w:pPr>
              <w:autoSpaceDE w:val="0"/>
              <w:autoSpaceDN w:val="0"/>
              <w:adjustRightInd w:val="0"/>
              <w:spacing w:after="0" w:line="240" w:lineRule="auto"/>
              <w:contextualSpacing/>
              <w:rPr>
                <w:rFonts w:ascii="Palatino Linotype" w:hAnsi="Palatino Linotype" w:cs="Arial"/>
                <w:bCs/>
                <w:color w:val="000000"/>
                <w:sz w:val="20"/>
                <w:szCs w:val="20"/>
              </w:rPr>
            </w:pPr>
            <w:r>
              <w:rPr>
                <w:rFonts w:ascii="Palatino Linotype" w:hAnsi="Palatino Linotype" w:cs="Arial"/>
                <w:bCs/>
                <w:color w:val="000000"/>
                <w:sz w:val="20"/>
                <w:szCs w:val="20"/>
              </w:rPr>
              <w:t>“ORG</w:t>
            </w:r>
            <w:r w:rsidR="00D80A47">
              <w:rPr>
                <w:rFonts w:ascii="Palatino Linotype" w:hAnsi="Palatino Linotype" w:cs="Arial"/>
                <w:bCs/>
                <w:color w:val="000000"/>
                <w:sz w:val="20"/>
                <w:szCs w:val="20"/>
              </w:rPr>
              <w:t>,”</w:t>
            </w:r>
            <w:r>
              <w:rPr>
                <w:rFonts w:ascii="Palatino Linotype" w:hAnsi="Palatino Linotype" w:cs="Arial"/>
                <w:bCs/>
                <w:color w:val="000000"/>
                <w:sz w:val="20"/>
                <w:szCs w:val="20"/>
              </w:rPr>
              <w:t xml:space="preserve"> Organizational Certification, deleted as a type of NERC Standard. </w:t>
            </w:r>
          </w:p>
        </w:tc>
      </w:tr>
      <w:tr w:rsidR="00D80A47" w:rsidRPr="00834841" w14:paraId="70DD3E14" w14:textId="77777777" w:rsidTr="00594572">
        <w:trPr>
          <w:cantSplit/>
          <w:trHeight w:val="593"/>
        </w:trPr>
        <w:tc>
          <w:tcPr>
            <w:tcW w:w="0" w:type="auto"/>
            <w:shd w:val="clear" w:color="auto" w:fill="auto"/>
          </w:tcPr>
          <w:p w14:paraId="5018F40F" w14:textId="0701D5CF" w:rsidR="00D80A47" w:rsidRDefault="00D80A47" w:rsidP="003B7138">
            <w:pPr>
              <w:autoSpaceDE w:val="0"/>
              <w:autoSpaceDN w:val="0"/>
              <w:adjustRightInd w:val="0"/>
              <w:spacing w:after="0" w:line="240" w:lineRule="auto"/>
              <w:contextualSpacing/>
              <w:jc w:val="center"/>
              <w:rPr>
                <w:rFonts w:ascii="Palatino Linotype" w:hAnsi="Palatino Linotype" w:cs="Arial"/>
                <w:color w:val="000000"/>
                <w:sz w:val="20"/>
                <w:szCs w:val="20"/>
              </w:rPr>
            </w:pPr>
            <w:r>
              <w:rPr>
                <w:rFonts w:ascii="Palatino Linotype" w:hAnsi="Palatino Linotype" w:cs="Arial"/>
                <w:color w:val="000000"/>
                <w:sz w:val="20"/>
                <w:szCs w:val="20"/>
              </w:rPr>
              <w:t>12</w:t>
            </w:r>
          </w:p>
        </w:tc>
        <w:tc>
          <w:tcPr>
            <w:tcW w:w="1701" w:type="dxa"/>
            <w:shd w:val="clear" w:color="auto" w:fill="auto"/>
          </w:tcPr>
          <w:p w14:paraId="6857C920" w14:textId="65DF8C0E" w:rsidR="00D80A47" w:rsidRDefault="00D80A47" w:rsidP="003B7138">
            <w:pPr>
              <w:autoSpaceDE w:val="0"/>
              <w:autoSpaceDN w:val="0"/>
              <w:adjustRightInd w:val="0"/>
              <w:spacing w:after="0" w:line="240" w:lineRule="auto"/>
              <w:contextualSpacing/>
              <w:rPr>
                <w:rFonts w:ascii="Palatino Linotype" w:hAnsi="Palatino Linotype" w:cs="Arial"/>
                <w:color w:val="000000"/>
                <w:sz w:val="20"/>
                <w:szCs w:val="20"/>
              </w:rPr>
            </w:pPr>
            <w:r>
              <w:rPr>
                <w:rFonts w:ascii="Palatino Linotype" w:hAnsi="Palatino Linotype" w:cs="Arial"/>
                <w:color w:val="000000"/>
                <w:sz w:val="20"/>
                <w:szCs w:val="20"/>
              </w:rPr>
              <w:t>December 6, 2022</w:t>
            </w:r>
          </w:p>
        </w:tc>
        <w:tc>
          <w:tcPr>
            <w:tcW w:w="1934" w:type="dxa"/>
            <w:shd w:val="clear" w:color="auto" w:fill="auto"/>
          </w:tcPr>
          <w:p w14:paraId="0ACBBD20" w14:textId="51E29C90" w:rsidR="00D80A47" w:rsidRDefault="00D80A47" w:rsidP="003B7138">
            <w:pPr>
              <w:autoSpaceDE w:val="0"/>
              <w:autoSpaceDN w:val="0"/>
              <w:adjustRightInd w:val="0"/>
              <w:spacing w:after="0" w:line="240" w:lineRule="auto"/>
              <w:contextualSpacing/>
              <w:rPr>
                <w:rFonts w:ascii="Palatino Linotype" w:hAnsi="Palatino Linotype" w:cs="Arial"/>
                <w:color w:val="000000"/>
                <w:sz w:val="20"/>
                <w:szCs w:val="20"/>
              </w:rPr>
            </w:pPr>
            <w:r>
              <w:rPr>
                <w:rFonts w:ascii="Palatino Linotype" w:hAnsi="Palatino Linotype" w:cs="Arial"/>
                <w:color w:val="000000"/>
                <w:sz w:val="20"/>
                <w:szCs w:val="20"/>
              </w:rPr>
              <w:t>Annual Review</w:t>
            </w:r>
          </w:p>
        </w:tc>
        <w:tc>
          <w:tcPr>
            <w:tcW w:w="5365" w:type="dxa"/>
            <w:shd w:val="clear" w:color="auto" w:fill="auto"/>
          </w:tcPr>
          <w:p w14:paraId="452328B3" w14:textId="07705A32" w:rsidR="00D80A47" w:rsidRDefault="00C86AA1" w:rsidP="00834841">
            <w:pPr>
              <w:autoSpaceDE w:val="0"/>
              <w:autoSpaceDN w:val="0"/>
              <w:adjustRightInd w:val="0"/>
              <w:spacing w:after="0" w:line="240" w:lineRule="auto"/>
              <w:contextualSpacing/>
              <w:rPr>
                <w:rFonts w:ascii="Palatino Linotype" w:hAnsi="Palatino Linotype" w:cs="Arial"/>
                <w:bCs/>
                <w:color w:val="000000"/>
                <w:sz w:val="20"/>
                <w:szCs w:val="20"/>
              </w:rPr>
            </w:pPr>
            <w:r>
              <w:rPr>
                <w:rFonts w:ascii="Palatino Linotype" w:hAnsi="Palatino Linotype" w:cs="Arial"/>
                <w:bCs/>
                <w:color w:val="000000"/>
                <w:sz w:val="20"/>
                <w:szCs w:val="20"/>
              </w:rPr>
              <w:t>The following changes were approved: 1) title change, 2) deletion of the table of contents, 3) sections titled Adding Terms, Modifying Terms, Deleting Terms, Administration</w:t>
            </w:r>
            <w:r w:rsidR="00173C8C">
              <w:rPr>
                <w:rFonts w:ascii="Palatino Linotype" w:hAnsi="Palatino Linotype" w:cs="Arial"/>
                <w:bCs/>
                <w:color w:val="000000"/>
                <w:sz w:val="20"/>
                <w:szCs w:val="20"/>
              </w:rPr>
              <w:t>, and Annual Review</w:t>
            </w:r>
            <w:r>
              <w:rPr>
                <w:rFonts w:ascii="Palatino Linotype" w:hAnsi="Palatino Linotype" w:cs="Arial"/>
                <w:bCs/>
                <w:color w:val="000000"/>
                <w:sz w:val="20"/>
                <w:szCs w:val="20"/>
              </w:rPr>
              <w:t xml:space="preserve"> are replaced with new sections titled Administration and Modification, WECC Standards and WECC Criteria Numbering System, and the contact information shifted to </w:t>
            </w:r>
            <w:hyperlink r:id="rId14" w:history="1">
              <w:r w:rsidRPr="00C86AA1">
                <w:rPr>
                  <w:rStyle w:val="Hyperlink"/>
                  <w:rFonts w:ascii="Palatino Linotype" w:hAnsi="Palatino Linotype" w:cs="Arial"/>
                  <w:bCs/>
                  <w:sz w:val="20"/>
                  <w:szCs w:val="20"/>
                </w:rPr>
                <w:t>support@wecc.org.</w:t>
              </w:r>
              <w:r w:rsidRPr="00C86AA1">
                <w:rPr>
                  <w:rStyle w:val="Hyperlink"/>
                </w:rPr>
                <w:t xml:space="preserve"> </w:t>
              </w:r>
            </w:hyperlink>
          </w:p>
        </w:tc>
      </w:tr>
    </w:tbl>
    <w:p w14:paraId="2E2B140C" w14:textId="77777777" w:rsidR="0047520E" w:rsidRPr="00834841" w:rsidRDefault="0047520E" w:rsidP="0021384C">
      <w:pPr>
        <w:rPr>
          <w:rFonts w:ascii="Palatino Linotype" w:hAnsi="Palatino Linotype"/>
        </w:rPr>
      </w:pPr>
    </w:p>
    <w:sectPr w:rsidR="0047520E" w:rsidRPr="00834841" w:rsidSect="00005571">
      <w:headerReference w:type="default" r:id="rId15"/>
      <w:footerReference w:type="default" r:id="rId16"/>
      <w:pgSz w:w="12240" w:h="15840"/>
      <w:pgMar w:top="1080" w:right="108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89B4" w14:textId="77777777" w:rsidR="001F6203" w:rsidRDefault="001F6203" w:rsidP="00F82512">
      <w:pPr>
        <w:spacing w:line="240" w:lineRule="auto"/>
      </w:pPr>
      <w:r>
        <w:separator/>
      </w:r>
    </w:p>
    <w:p w14:paraId="3F878EDD" w14:textId="77777777" w:rsidR="001F6203" w:rsidRDefault="001F6203"/>
  </w:endnote>
  <w:endnote w:type="continuationSeparator" w:id="0">
    <w:p w14:paraId="3551EDDE" w14:textId="77777777" w:rsidR="001F6203" w:rsidRDefault="001F6203" w:rsidP="00F82512">
      <w:pPr>
        <w:spacing w:line="240" w:lineRule="auto"/>
      </w:pPr>
      <w:r>
        <w:continuationSeparator/>
      </w:r>
    </w:p>
    <w:p w14:paraId="231F2369" w14:textId="77777777" w:rsidR="001F6203" w:rsidRDefault="001F6203"/>
  </w:endnote>
  <w:endnote w:type="continuationNotice" w:id="1">
    <w:p w14:paraId="5ADA8C52" w14:textId="77777777" w:rsidR="001F6203" w:rsidRDefault="001F6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26F273D1" w14:textId="77777777" w:rsidR="004E2BD4" w:rsidRPr="009D141F" w:rsidRDefault="004E2BD4" w:rsidP="004D404D">
        <w:pPr>
          <w:pStyle w:val="Footer"/>
          <w:rPr>
            <w:b w:val="0"/>
          </w:rPr>
        </w:pPr>
        <w:r w:rsidRPr="009D141F">
          <w:rPr>
            <w:b w:val="0"/>
          </w:rPr>
          <w:drawing>
            <wp:inline distT="0" distB="0" distL="0" distR="0" wp14:anchorId="4B172184" wp14:editId="516D9A25">
              <wp:extent cx="413846" cy="27432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sidR="00CD0503">
          <w:rPr>
            <w:b w:val="0"/>
          </w:rPr>
          <w:t>2</w:t>
        </w:r>
        <w:r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E6BF" w14:textId="77777777" w:rsidR="001F6203" w:rsidRDefault="001F6203" w:rsidP="00F82512">
      <w:pPr>
        <w:spacing w:line="240" w:lineRule="auto"/>
      </w:pPr>
      <w:r>
        <w:separator/>
      </w:r>
    </w:p>
  </w:footnote>
  <w:footnote w:type="continuationSeparator" w:id="0">
    <w:p w14:paraId="040DA83E" w14:textId="77777777" w:rsidR="001F6203" w:rsidRDefault="001F6203" w:rsidP="00F82512">
      <w:pPr>
        <w:spacing w:line="240" w:lineRule="auto"/>
      </w:pPr>
      <w:r>
        <w:continuationSeparator/>
      </w:r>
    </w:p>
    <w:p w14:paraId="1AFBFFB5" w14:textId="77777777" w:rsidR="001F6203" w:rsidRDefault="001F6203"/>
  </w:footnote>
  <w:footnote w:type="continuationNotice" w:id="1">
    <w:p w14:paraId="6108840E" w14:textId="77777777" w:rsidR="001F6203" w:rsidRDefault="001F6203">
      <w:pPr>
        <w:spacing w:after="0" w:line="240" w:lineRule="auto"/>
      </w:pPr>
    </w:p>
  </w:footnote>
  <w:footnote w:id="2">
    <w:p w14:paraId="3F4D49B5" w14:textId="77777777" w:rsidR="00D416B9" w:rsidRDefault="00D416B9" w:rsidP="00F638EA">
      <w:pPr>
        <w:spacing w:before="120" w:after="0"/>
      </w:pPr>
      <w:r w:rsidRPr="00475566">
        <w:rPr>
          <w:rStyle w:val="FootnoteReference"/>
          <w:sz w:val="20"/>
        </w:rPr>
        <w:footnoteRef/>
      </w:r>
      <w:r w:rsidRPr="00594572">
        <w:rPr>
          <w:sz w:val="20"/>
          <w:szCs w:val="20"/>
        </w:rPr>
        <w:t xml:space="preserve"> </w:t>
      </w:r>
      <w:bookmarkStart w:id="3" w:name="_Hlk121834863"/>
      <w:r w:rsidRPr="00594572">
        <w:rPr>
          <w:sz w:val="20"/>
          <w:szCs w:val="20"/>
        </w:rPr>
        <w:t xml:space="preserve">On June 25, 2014, the WECC Board of Directors (Board) changed the Regional Business Practice “RBP” designation to “CRT” for WECC Criterion. </w:t>
      </w:r>
      <w:bookmarkEnd w:id="3"/>
    </w:p>
  </w:footnote>
  <w:footnote w:id="3">
    <w:p w14:paraId="712BCDAA" w14:textId="6DD5CBF0" w:rsidR="00721C92" w:rsidRDefault="00721C92" w:rsidP="00F638EA">
      <w:pPr>
        <w:pStyle w:val="FootnoteText"/>
        <w:spacing w:before="120" w:line="276" w:lineRule="auto"/>
      </w:pPr>
      <w:r>
        <w:rPr>
          <w:rStyle w:val="FootnoteReference"/>
        </w:rPr>
        <w:footnoteRef/>
      </w:r>
      <w:r>
        <w:t xml:space="preserve"> </w:t>
      </w:r>
      <w:hyperlink r:id="rId1" w:history="1">
        <w:r w:rsidRPr="005261CB">
          <w:rPr>
            <w:rStyle w:val="Hyperlink"/>
          </w:rPr>
          <w:t>https://www.nerc.com/pa/Stand/Resources/Documents/NERC%20Standards%20Numbering%20System.pdf</w:t>
        </w:r>
      </w:hyperlink>
    </w:p>
    <w:p w14:paraId="1050BD98" w14:textId="77777777" w:rsidR="00721C92" w:rsidRDefault="00721C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EAE9" w14:textId="09F092C7" w:rsidR="004E2BD4" w:rsidRDefault="002B0F1D" w:rsidP="004D404D">
    <w:pPr>
      <w:pStyle w:val="Header"/>
    </w:pPr>
    <w:r>
      <w:t>WECC Glossary of Terms</w:t>
    </w:r>
    <w:r w:rsidR="00594572">
      <w:t xml:space="preserve"> Used in WECC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C04F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4A8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5C80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DAD4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1053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EB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463D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27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04C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942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6449"/>
    <w:multiLevelType w:val="hybridMultilevel"/>
    <w:tmpl w:val="9C04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26BBA"/>
    <w:multiLevelType w:val="hybridMultilevel"/>
    <w:tmpl w:val="2088737E"/>
    <w:lvl w:ilvl="0" w:tplc="F434F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FA40DE"/>
    <w:multiLevelType w:val="hybridMultilevel"/>
    <w:tmpl w:val="80F2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A39FC"/>
    <w:multiLevelType w:val="hybridMultilevel"/>
    <w:tmpl w:val="794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30DB8"/>
    <w:multiLevelType w:val="hybridMultilevel"/>
    <w:tmpl w:val="0B3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B1A21"/>
    <w:multiLevelType w:val="multilevel"/>
    <w:tmpl w:val="3AA2A792"/>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040D0F"/>
    <w:multiLevelType w:val="hybridMultilevel"/>
    <w:tmpl w:val="BD88948E"/>
    <w:lvl w:ilvl="0" w:tplc="867E03D0">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86C72"/>
    <w:multiLevelType w:val="multilevel"/>
    <w:tmpl w:val="4442F84C"/>
    <w:lvl w:ilvl="0">
      <w:start w:val="1"/>
      <w:numFmt w:val="decimal"/>
      <w:lvlText w:val="%1"/>
      <w:lvlJc w:val="left"/>
      <w:pPr>
        <w:ind w:left="720" w:hanging="7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9" w15:restartNumberingAfterBreak="0">
    <w:nsid w:val="5AB514BC"/>
    <w:multiLevelType w:val="hybridMultilevel"/>
    <w:tmpl w:val="6904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52707"/>
    <w:multiLevelType w:val="hybridMultilevel"/>
    <w:tmpl w:val="D2E6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A52A8"/>
    <w:multiLevelType w:val="hybridMultilevel"/>
    <w:tmpl w:val="102480FE"/>
    <w:lvl w:ilvl="0" w:tplc="1C9855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11AEC"/>
    <w:multiLevelType w:val="hybridMultilevel"/>
    <w:tmpl w:val="096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8037F"/>
    <w:multiLevelType w:val="hybridMultilevel"/>
    <w:tmpl w:val="D42C5764"/>
    <w:lvl w:ilvl="0" w:tplc="0A5491E4">
      <w:start w:val="1"/>
      <w:numFmt w:val="upperLetter"/>
      <w:lvlText w:val="%1."/>
      <w:lvlJc w:val="left"/>
      <w:pPr>
        <w:ind w:left="720" w:hanging="360"/>
      </w:pPr>
      <w:rPr>
        <w:rFonts w:asciiTheme="minorHAnsi" w:hAnsiTheme="minorHAns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94F87"/>
    <w:multiLevelType w:val="hybridMultilevel"/>
    <w:tmpl w:val="750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90EAB"/>
    <w:multiLevelType w:val="hybridMultilevel"/>
    <w:tmpl w:val="0A68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186850">
    <w:abstractNumId w:val="22"/>
  </w:num>
  <w:num w:numId="2" w16cid:durableId="1674144391">
    <w:abstractNumId w:val="19"/>
  </w:num>
  <w:num w:numId="3" w16cid:durableId="1752316033">
    <w:abstractNumId w:val="12"/>
  </w:num>
  <w:num w:numId="4" w16cid:durableId="653950570">
    <w:abstractNumId w:val="14"/>
  </w:num>
  <w:num w:numId="5" w16cid:durableId="959149725">
    <w:abstractNumId w:val="23"/>
  </w:num>
  <w:num w:numId="6" w16cid:durableId="1922788681">
    <w:abstractNumId w:val="18"/>
  </w:num>
  <w:num w:numId="7" w16cid:durableId="1800950405">
    <w:abstractNumId w:val="16"/>
  </w:num>
  <w:num w:numId="8" w16cid:durableId="13401543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089252">
    <w:abstractNumId w:val="20"/>
  </w:num>
  <w:num w:numId="10" w16cid:durableId="1793672809">
    <w:abstractNumId w:val="8"/>
  </w:num>
  <w:num w:numId="11" w16cid:durableId="1208298187">
    <w:abstractNumId w:val="21"/>
  </w:num>
  <w:num w:numId="12" w16cid:durableId="1925408964">
    <w:abstractNumId w:val="17"/>
  </w:num>
  <w:num w:numId="13" w16cid:durableId="2038504399">
    <w:abstractNumId w:val="9"/>
  </w:num>
  <w:num w:numId="14" w16cid:durableId="24985555">
    <w:abstractNumId w:val="7"/>
  </w:num>
  <w:num w:numId="15" w16cid:durableId="1920602529">
    <w:abstractNumId w:val="6"/>
  </w:num>
  <w:num w:numId="16" w16cid:durableId="420568242">
    <w:abstractNumId w:val="5"/>
  </w:num>
  <w:num w:numId="17" w16cid:durableId="426584730">
    <w:abstractNumId w:val="4"/>
  </w:num>
  <w:num w:numId="18" w16cid:durableId="1568299787">
    <w:abstractNumId w:val="3"/>
  </w:num>
  <w:num w:numId="19" w16cid:durableId="489252995">
    <w:abstractNumId w:val="2"/>
  </w:num>
  <w:num w:numId="20" w16cid:durableId="1008867622">
    <w:abstractNumId w:val="1"/>
  </w:num>
  <w:num w:numId="21" w16cid:durableId="823355695">
    <w:abstractNumId w:val="0"/>
  </w:num>
  <w:num w:numId="22" w16cid:durableId="2049601953">
    <w:abstractNumId w:val="17"/>
    <w:lvlOverride w:ilvl="0">
      <w:startOverride w:val="1"/>
    </w:lvlOverride>
  </w:num>
  <w:num w:numId="23" w16cid:durableId="1473600000">
    <w:abstractNumId w:val="11"/>
  </w:num>
  <w:num w:numId="24" w16cid:durableId="387266590">
    <w:abstractNumId w:val="24"/>
  </w:num>
  <w:num w:numId="25" w16cid:durableId="1760248946">
    <w:abstractNumId w:val="10"/>
  </w:num>
  <w:num w:numId="26" w16cid:durableId="158741896">
    <w:abstractNumId w:val="26"/>
  </w:num>
  <w:num w:numId="27" w16cid:durableId="2019654233">
    <w:abstractNumId w:val="15"/>
  </w:num>
  <w:num w:numId="28" w16cid:durableId="1031953180">
    <w:abstractNumId w:val="13"/>
  </w:num>
  <w:num w:numId="29" w16cid:durableId="11394166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NTQ3tQBSBgZGJko6SsGpxcWZ+XkgBaa1AJVqdi8sAAAA"/>
  </w:docVars>
  <w:rsids>
    <w:rsidRoot w:val="00AC4E2D"/>
    <w:rsid w:val="00005571"/>
    <w:rsid w:val="00040600"/>
    <w:rsid w:val="00045DC0"/>
    <w:rsid w:val="00055DB5"/>
    <w:rsid w:val="000A1755"/>
    <w:rsid w:val="000A2F8C"/>
    <w:rsid w:val="000E11E5"/>
    <w:rsid w:val="000E1B1B"/>
    <w:rsid w:val="000F2A1F"/>
    <w:rsid w:val="00100596"/>
    <w:rsid w:val="00145C16"/>
    <w:rsid w:val="00145C17"/>
    <w:rsid w:val="001636D2"/>
    <w:rsid w:val="00166526"/>
    <w:rsid w:val="00173C8C"/>
    <w:rsid w:val="00182F03"/>
    <w:rsid w:val="001A2506"/>
    <w:rsid w:val="001C13DB"/>
    <w:rsid w:val="001D1625"/>
    <w:rsid w:val="001F563C"/>
    <w:rsid w:val="001F6203"/>
    <w:rsid w:val="00202C6B"/>
    <w:rsid w:val="00212D42"/>
    <w:rsid w:val="0021384C"/>
    <w:rsid w:val="00222020"/>
    <w:rsid w:val="002350EA"/>
    <w:rsid w:val="00237902"/>
    <w:rsid w:val="00240A58"/>
    <w:rsid w:val="00270EA9"/>
    <w:rsid w:val="00273586"/>
    <w:rsid w:val="002B0F1D"/>
    <w:rsid w:val="002C7262"/>
    <w:rsid w:val="00306139"/>
    <w:rsid w:val="003230D8"/>
    <w:rsid w:val="00323BC9"/>
    <w:rsid w:val="0039631B"/>
    <w:rsid w:val="003A4B8F"/>
    <w:rsid w:val="003C38CA"/>
    <w:rsid w:val="003E1973"/>
    <w:rsid w:val="0043738A"/>
    <w:rsid w:val="0044278C"/>
    <w:rsid w:val="0047520E"/>
    <w:rsid w:val="00475566"/>
    <w:rsid w:val="004B6A4F"/>
    <w:rsid w:val="004D1F97"/>
    <w:rsid w:val="004D404D"/>
    <w:rsid w:val="004E2BD4"/>
    <w:rsid w:val="00515DDA"/>
    <w:rsid w:val="005623FF"/>
    <w:rsid w:val="00584CA2"/>
    <w:rsid w:val="00594572"/>
    <w:rsid w:val="005A392F"/>
    <w:rsid w:val="005A4B65"/>
    <w:rsid w:val="005B318F"/>
    <w:rsid w:val="005E4587"/>
    <w:rsid w:val="00603CB7"/>
    <w:rsid w:val="00606EDA"/>
    <w:rsid w:val="00621224"/>
    <w:rsid w:val="00684847"/>
    <w:rsid w:val="00696AF2"/>
    <w:rsid w:val="006C4E57"/>
    <w:rsid w:val="006D37A4"/>
    <w:rsid w:val="00704C1C"/>
    <w:rsid w:val="00712A3F"/>
    <w:rsid w:val="007130D6"/>
    <w:rsid w:val="00715742"/>
    <w:rsid w:val="007157F2"/>
    <w:rsid w:val="00721C92"/>
    <w:rsid w:val="00734209"/>
    <w:rsid w:val="00761FA8"/>
    <w:rsid w:val="00763027"/>
    <w:rsid w:val="00771179"/>
    <w:rsid w:val="007B33B1"/>
    <w:rsid w:val="007F7F56"/>
    <w:rsid w:val="008313EF"/>
    <w:rsid w:val="00834841"/>
    <w:rsid w:val="008438EC"/>
    <w:rsid w:val="008453E4"/>
    <w:rsid w:val="00856516"/>
    <w:rsid w:val="00873571"/>
    <w:rsid w:val="00876B2C"/>
    <w:rsid w:val="00887CE8"/>
    <w:rsid w:val="008B2E35"/>
    <w:rsid w:val="008C59BE"/>
    <w:rsid w:val="008D3E42"/>
    <w:rsid w:val="008E5EA8"/>
    <w:rsid w:val="008F3E53"/>
    <w:rsid w:val="00900819"/>
    <w:rsid w:val="00902C28"/>
    <w:rsid w:val="00920EC9"/>
    <w:rsid w:val="00950151"/>
    <w:rsid w:val="009A058B"/>
    <w:rsid w:val="009A4D48"/>
    <w:rsid w:val="009C3E05"/>
    <w:rsid w:val="009C416C"/>
    <w:rsid w:val="009D141F"/>
    <w:rsid w:val="009D5609"/>
    <w:rsid w:val="009E1B07"/>
    <w:rsid w:val="00A16D5F"/>
    <w:rsid w:val="00A21AAB"/>
    <w:rsid w:val="00A57E35"/>
    <w:rsid w:val="00A660E6"/>
    <w:rsid w:val="00A83E14"/>
    <w:rsid w:val="00AB279A"/>
    <w:rsid w:val="00AC4E2D"/>
    <w:rsid w:val="00B1573D"/>
    <w:rsid w:val="00B26EDE"/>
    <w:rsid w:val="00B2719B"/>
    <w:rsid w:val="00B40A71"/>
    <w:rsid w:val="00B44CDA"/>
    <w:rsid w:val="00B6183C"/>
    <w:rsid w:val="00B77370"/>
    <w:rsid w:val="00BA67E3"/>
    <w:rsid w:val="00BA7DBE"/>
    <w:rsid w:val="00BC5022"/>
    <w:rsid w:val="00C07403"/>
    <w:rsid w:val="00C32BBA"/>
    <w:rsid w:val="00C35E15"/>
    <w:rsid w:val="00C52A90"/>
    <w:rsid w:val="00C739F4"/>
    <w:rsid w:val="00C84B3B"/>
    <w:rsid w:val="00C86AA1"/>
    <w:rsid w:val="00C957C6"/>
    <w:rsid w:val="00CB24A0"/>
    <w:rsid w:val="00CD0503"/>
    <w:rsid w:val="00CD1D15"/>
    <w:rsid w:val="00CE2711"/>
    <w:rsid w:val="00CF774D"/>
    <w:rsid w:val="00D2141A"/>
    <w:rsid w:val="00D416B9"/>
    <w:rsid w:val="00D575A3"/>
    <w:rsid w:val="00D70AE5"/>
    <w:rsid w:val="00D80A47"/>
    <w:rsid w:val="00D96A0C"/>
    <w:rsid w:val="00D96FB5"/>
    <w:rsid w:val="00DF3BCD"/>
    <w:rsid w:val="00DF5A6A"/>
    <w:rsid w:val="00E24901"/>
    <w:rsid w:val="00E42839"/>
    <w:rsid w:val="00E770E6"/>
    <w:rsid w:val="00EA2394"/>
    <w:rsid w:val="00EB26C0"/>
    <w:rsid w:val="00EB4FD0"/>
    <w:rsid w:val="00EB60D9"/>
    <w:rsid w:val="00F551EB"/>
    <w:rsid w:val="00F638EA"/>
    <w:rsid w:val="00F77041"/>
    <w:rsid w:val="00F81235"/>
    <w:rsid w:val="00F82512"/>
    <w:rsid w:val="00F84761"/>
    <w:rsid w:val="00F853EC"/>
    <w:rsid w:val="00FA7C52"/>
    <w:rsid w:val="00FD5A5B"/>
    <w:rsid w:val="00FE295B"/>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1F66"/>
  <w15:chartTrackingRefBased/>
  <w15:docId w15:val="{5B67ADCA-04C9-477A-8B8F-2A0F10F0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CD"/>
  </w:style>
  <w:style w:type="paragraph" w:styleId="Heading1">
    <w:name w:val="heading 1"/>
    <w:basedOn w:val="ListParagraph"/>
    <w:next w:val="Normal"/>
    <w:link w:val="Heading1Char"/>
    <w:uiPriority w:val="9"/>
    <w:qFormat/>
    <w:rsid w:val="00DF3BCD"/>
    <w:pPr>
      <w:keepNext/>
      <w:keepLines/>
      <w:numPr>
        <w:numId w:val="0"/>
      </w:numPr>
      <w:pBdr>
        <w:bottom w:val="single" w:sz="12" w:space="1" w:color="auto"/>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DF3BCD"/>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DF3BCD"/>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DF3BCD"/>
    <w:rPr>
      <w:rFonts w:asciiTheme="majorHAnsi" w:hAnsiTheme="majorHAnsi"/>
      <w:b/>
      <w:sz w:val="27"/>
      <w:szCs w:val="28"/>
    </w:rPr>
  </w:style>
  <w:style w:type="character" w:styleId="Hyperlink">
    <w:name w:val="Hyperlink"/>
    <w:basedOn w:val="DefaultParagraphFont"/>
    <w:uiPriority w:val="99"/>
    <w:unhideWhenUsed/>
    <w:qFormat/>
    <w:rsid w:val="00323BC9"/>
    <w:rPr>
      <w:color w:val="0000FF" w:themeColor="hyperlink"/>
      <w:u w:val="single"/>
    </w:rPr>
  </w:style>
  <w:style w:type="paragraph" w:styleId="ListParagraph">
    <w:name w:val="List Paragraph"/>
    <w:basedOn w:val="Normal"/>
    <w:link w:val="ListParagraphChar"/>
    <w:uiPriority w:val="34"/>
    <w:qFormat/>
    <w:rsid w:val="00DF3BCD"/>
    <w:pPr>
      <w:numPr>
        <w:numId w:val="7"/>
      </w:numPr>
      <w:suppressAutoHyphens/>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005571"/>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DF3BCD"/>
    <w:rPr>
      <w:rFonts w:asciiTheme="majorHAnsi" w:hAnsiTheme="majorHAnsi"/>
      <w:b/>
      <w:sz w:val="24"/>
      <w:szCs w:val="28"/>
    </w:rPr>
  </w:style>
  <w:style w:type="character" w:customStyle="1" w:styleId="Heading3Char">
    <w:name w:val="Heading 3 Char"/>
    <w:basedOn w:val="DefaultParagraphFont"/>
    <w:link w:val="Heading3"/>
    <w:uiPriority w:val="9"/>
    <w:rsid w:val="00DF3BCD"/>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3BCD"/>
  </w:style>
  <w:style w:type="character" w:customStyle="1" w:styleId="BulletList2Char">
    <w:name w:val="Bullet List 2 Char"/>
    <w:basedOn w:val="ListParagraphChar"/>
    <w:link w:val="BulletList2"/>
    <w:rsid w:val="00684847"/>
    <w:rPr>
      <w:sz w:val="24"/>
    </w:rPr>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3C38CA"/>
    <w:pPr>
      <w:pBdr>
        <w:bottom w:val="none" w:sz="0" w:space="0" w:color="auto"/>
      </w:pBdr>
      <w:suppressAutoHyphens w:val="0"/>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rsid w:val="00902C28"/>
    <w:pPr>
      <w:spacing w:after="160" w:line="259" w:lineRule="auto"/>
    </w:pPr>
    <w:rPr>
      <w:rFonts w:asciiTheme="majorHAnsi" w:hAnsiTheme="majorHAnsi"/>
      <w:b/>
    </w:rPr>
  </w:style>
  <w:style w:type="paragraph" w:styleId="ListNumber">
    <w:name w:val="List Number"/>
    <w:basedOn w:val="ListParagraph"/>
    <w:uiPriority w:val="2"/>
    <w:rsid w:val="009C416C"/>
    <w:pPr>
      <w:numPr>
        <w:numId w:val="12"/>
      </w:numPr>
    </w:pPr>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paragraph" w:styleId="FootnoteText">
    <w:name w:val="footnote text"/>
    <w:basedOn w:val="Normal"/>
    <w:link w:val="FootnoteTextChar"/>
    <w:uiPriority w:val="99"/>
    <w:unhideWhenUsed/>
    <w:rsid w:val="00273586"/>
    <w:pPr>
      <w:tabs>
        <w:tab w:val="left" w:pos="180"/>
      </w:tabs>
      <w:suppressAutoHyphens/>
      <w:spacing w:after="0" w:line="240" w:lineRule="auto"/>
      <w:ind w:left="180" w:hanging="180"/>
    </w:pPr>
    <w:rPr>
      <w:rFonts w:ascii="Palatino Linotype" w:eastAsia="Calibri" w:hAnsi="Palatino Linotype" w:cs="Times New Roman"/>
      <w:sz w:val="20"/>
      <w:szCs w:val="20"/>
    </w:rPr>
  </w:style>
  <w:style w:type="character" w:customStyle="1" w:styleId="FootnoteTextChar">
    <w:name w:val="Footnote Text Char"/>
    <w:basedOn w:val="DefaultParagraphFont"/>
    <w:link w:val="FootnoteText"/>
    <w:uiPriority w:val="99"/>
    <w:rsid w:val="00273586"/>
    <w:rPr>
      <w:rFonts w:ascii="Palatino Linotype" w:eastAsia="Calibri" w:hAnsi="Palatino Linotype" w:cs="Times New Roman"/>
      <w:sz w:val="20"/>
      <w:szCs w:val="20"/>
    </w:rPr>
  </w:style>
  <w:style w:type="character" w:styleId="FootnoteReference">
    <w:name w:val="footnote reference"/>
    <w:uiPriority w:val="99"/>
    <w:unhideWhenUsed/>
    <w:rsid w:val="002350EA"/>
    <w:rPr>
      <w:vertAlign w:val="superscript"/>
    </w:rPr>
  </w:style>
  <w:style w:type="paragraph" w:customStyle="1" w:styleId="TableParagraph">
    <w:name w:val="Table Paragraph"/>
    <w:basedOn w:val="Normal"/>
    <w:uiPriority w:val="1"/>
    <w:qFormat/>
    <w:rsid w:val="0047520E"/>
    <w:pPr>
      <w:widowControl w:val="0"/>
      <w:spacing w:after="0" w:line="240" w:lineRule="auto"/>
    </w:pPr>
    <w:rPr>
      <w:rFonts w:ascii="Calibri" w:eastAsia="Calibri" w:hAnsi="Calibri" w:cs="Times New Roman"/>
    </w:rPr>
  </w:style>
  <w:style w:type="paragraph" w:customStyle="1" w:styleId="Default">
    <w:name w:val="Default"/>
    <w:rsid w:val="0047520E"/>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EB4FD0"/>
    <w:pPr>
      <w:spacing w:after="0" w:line="240" w:lineRule="auto"/>
    </w:pPr>
  </w:style>
  <w:style w:type="character" w:styleId="UnresolvedMention">
    <w:name w:val="Unresolved Mention"/>
    <w:basedOn w:val="DefaultParagraphFont"/>
    <w:uiPriority w:val="99"/>
    <w:semiHidden/>
    <w:unhideWhenUsed/>
    <w:rsid w:val="000A2F8C"/>
    <w:rPr>
      <w:color w:val="605E5C"/>
      <w:shd w:val="clear" w:color="auto" w:fill="E1DFDD"/>
    </w:rPr>
  </w:style>
  <w:style w:type="paragraph" w:customStyle="1" w:styleId="MeetingsLeader">
    <w:name w:val="Meetings Leader"/>
    <w:basedOn w:val="Normal"/>
    <w:link w:val="MeetingsLeaderChar"/>
    <w:uiPriority w:val="6"/>
    <w:qFormat/>
    <w:rsid w:val="00E24901"/>
    <w:pPr>
      <w:tabs>
        <w:tab w:val="left" w:leader="dot" w:pos="7200"/>
      </w:tabs>
      <w:spacing w:before="120"/>
      <w:ind w:left="720"/>
    </w:pPr>
    <w:rPr>
      <w:rFonts w:ascii="Palatino Linotype" w:hAnsi="Palatino Linotype"/>
    </w:rPr>
  </w:style>
  <w:style w:type="character" w:customStyle="1" w:styleId="MeetingsLeaderChar">
    <w:name w:val="Meetings Leader Char"/>
    <w:basedOn w:val="DefaultParagraphFont"/>
    <w:link w:val="MeetingsLeader"/>
    <w:uiPriority w:val="6"/>
    <w:rsid w:val="00E24901"/>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wec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wecc.org.%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nerc.com/pa/Stand/Resources/Documents/NERC%20Standards%20Numbering%20Syste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Request%20for%20Proposals.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Report or Other</Document_x0020_Categorization_x0020_Policy>
    <TaxCatchAll xmlns="4bd63098-0c83-43cf-abdd-085f2cc55a51">
      <Value>1990</Value>
      <Value>852</Value>
    </TaxCatchAll>
    <Privacy xmlns="2fb8a92a-9032-49d6-b983-191f0a73b01f">Public</Privacy>
    <Event_x0020_ID xmlns="4bd63098-0c83-43cf-abdd-085f2cc55a51" xsi:nil="true"/>
    <Committee xmlns="2fb8a92a-9032-49d6-b983-191f0a73b01f">
      <Value>BOD</Value>
      <Value>WSC</Value>
    </Committee>
    <WECC_x0020_Status xmlns="2fb8a92a-9032-49d6-b983-191f0a73b01f">Retired</WECC_x0020_Status>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Reliability Standard</TermName>
          <TermId xmlns="http://schemas.microsoft.com/office/infopath/2007/PartnerControls">46edbadb-f683-4bcd-bb43-2f2ea2b0bcfa</TermId>
        </TermInfo>
        <TermInfo xmlns="http://schemas.microsoft.com/office/infopath/2007/PartnerControls">
          <TermName xmlns="http://schemas.microsoft.com/office/infopath/2007/PartnerControls">Policies and Procedures</TermName>
          <TermId xmlns="http://schemas.microsoft.com/office/infopath/2007/PartnerControls">cb4e4f34-81d2-4312-b125-8e16b9f631cf</TermId>
        </TermInfo>
      </Terms>
    </TaxKeywordTaxHTField>
    <Approver xmlns="4bd63098-0c83-43cf-abdd-085f2cc55a51">
      <UserInfo>
        <DisplayName>Crane, Donovan</DisplayName>
        <AccountId>6264</AccountId>
        <AccountType/>
      </UserInfo>
    </Approver>
    <_dlc_DocId xmlns="4bd63098-0c83-43cf-abdd-085f2cc55a51">YWEQ7USXTMD7-3-13147</_dlc_DocId>
    <_dlc_DocIdUrl xmlns="4bd63098-0c83-43cf-abdd-085f2cc55a51">
      <Url>https://internal.wecc.org/_layouts/15/DocIdRedir.aspx?ID=YWEQ7USXTMD7-3-13147</Url>
      <Description>YWEQ7USXTMD7-3-13147</Description>
    </_dlc_DocIdUrl>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BOD</Adopted_x002f_Approved_x0020_By>
  </documentManagement>
</p:properties>
</file>

<file path=customXml/item4.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B25B3A-0E1D-48DB-AA24-695275F51611}">
  <ds:schemaRefs>
    <ds:schemaRef ds:uri="http://schemas.openxmlformats.org/officeDocument/2006/bibliography"/>
  </ds:schemaRefs>
</ds:datastoreItem>
</file>

<file path=customXml/itemProps2.xml><?xml version="1.0" encoding="utf-8"?>
<ds:datastoreItem xmlns:ds="http://schemas.openxmlformats.org/officeDocument/2006/customXml" ds:itemID="{08BCCC6F-1941-4EC6-BBBF-058509CA8E73}">
  <ds:schemaRefs>
    <ds:schemaRef ds:uri="http://schemas.microsoft.com/sharepoint/v3/contenttype/forms"/>
  </ds:schemaRefs>
</ds:datastoreItem>
</file>

<file path=customXml/itemProps3.xml><?xml version="1.0" encoding="utf-8"?>
<ds:datastoreItem xmlns:ds="http://schemas.openxmlformats.org/officeDocument/2006/customXml" ds:itemID="{8B3ED029-175E-4C4A-A5BA-0FE01C8A7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8B348-B357-4235-A340-EBF0A3A3E920}"/>
</file>

<file path=customXml/itemProps5.xml><?xml version="1.0" encoding="utf-8"?>
<ds:datastoreItem xmlns:ds="http://schemas.openxmlformats.org/officeDocument/2006/customXml" ds:itemID="{055E6BB0-A921-46DC-991F-7DFC20983024}"/>
</file>

<file path=docProps/app.xml><?xml version="1.0" encoding="utf-8"?>
<Properties xmlns="http://schemas.openxmlformats.org/officeDocument/2006/extended-properties" xmlns:vt="http://schemas.openxmlformats.org/officeDocument/2006/docPropsVTypes">
  <Template>Request for Proposals</Template>
  <TotalTime>3</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 Glossary of Terms and Naming Conventions - Retired 03-07-2023</dc:title>
  <dc:subject/>
  <dc:creator>Carter, Natalie</dc:creator>
  <cp:keywords>Reliability Standard; Policies and Procedures</cp:keywords>
  <dc:description/>
  <cp:lastModifiedBy>Black, Shannon</cp:lastModifiedBy>
  <cp:revision>2</cp:revision>
  <cp:lastPrinted>2021-12-15T19:51:00Z</cp:lastPrinted>
  <dcterms:created xsi:type="dcterms:W3CDTF">2023-03-10T00:12:00Z</dcterms:created>
  <dcterms:modified xsi:type="dcterms:W3CDTF">2023-03-10T00:12:00Z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_dlc_DocIdItemGuid">
    <vt:lpwstr>624196ef-d4f1-401b-8d4a-820e5820df39</vt:lpwstr>
  </property>
  <property fmtid="{D5CDD505-2E9C-101B-9397-08002B2CF9AE}" pid="4" name="TaxKeyword">
    <vt:lpwstr>1990;#Reliability Standard|46edbadb-f683-4bcd-bb43-2f2ea2b0bcfa;#852;#Policies and Procedures|cb4e4f34-81d2-4312-b125-8e16b9f631cf</vt:lpwstr>
  </property>
</Properties>
</file>